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ATAS/1256/2021 vom 6. Dezember 2021</w:t>
      </w:r>
    </w:p>
    <w:p>
      <w:r>
        <w:t>GE Cour de justice, 2021-12-06, FR</w:t>
      </w:r>
    </w:p>
    <w:p>
      <w:r>
        <w:rPr>
          <w:b/>
        </w:rPr>
        <w:t xml:space="preserve">Quelle: </w:t>
      </w:r>
      <w:r>
        <w:t>https://mcp.opencaselaw.ch/entscheid/ge_gerichte_ATAS_1256_2021</w:t>
      </w:r>
    </w:p>
    <w:p>
      <w:r>
        <w:t>FR: GE_GERICHTE ATAS/1256/2021 du 6 décembre 2021</w:t>
      </w:r>
    </w:p>
    <w:p>
      <w:r>
        <w:t>IT: GE_GERICHTE ATAS/1256/2021 del 6 dicembre 2021</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w:t>
      </w:r>
    </w:p>
    <w:p>
      <w:r>
        <w:t>A/1676/2021 - 6/14 -</w:t>
      </w:r>
    </w:p>
    <w:p>
      <w:r>
        <w:rPr>
          <w:b/>
        </w:rPr>
        <w:t>E. 1.2</w:t>
      </w:r>
    </w:p>
    <w:p>
      <w:r>
        <w:t>En vertu de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w:t>
      </w:r>
    </w:p>
    <w:p>
      <w:r>
        <w:rPr>
          <w:b/>
        </w:rPr>
        <w:t>E. 1.3</w:t>
      </w:r>
    </w:p>
    <w:p>
      <w:r>
        <w:t>L'ancien employeur du recourant, lequel est domicilié en France, est situé dans le canton de Genève, de sorte que la chambre de céans est compétente à raison de la matière et du lieu pour juger du cas d'espèce.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Déposé après le 1er janvier 2021, le recours sera donc traité sous l'angle du nouveau droit de la LPGA (cf. ATAS/360/2021 du 15 avril 2021 consid. 3).</w:t>
      </w:r>
    </w:p>
    <w:p>
      <w:r>
        <w:rPr>
          <w:b/>
        </w:rPr>
        <w:t>E. 4</w:t>
      </w:r>
    </w:p>
    <w:p>
      <w:r>
        <w:t>Dans la mesure où l'accident est survenu le 2 avril 2019, la LAA dans sa teneur en vigueur dès le 1er janvier 2017 s'applique au cas d'espèce (cf. par. 1 des dispositions transitoires sur la modification de la LAA du 25 septembre 2015, RO 2016 4375, 4388 ; arrêt du Tribunal fédéral 8C_662/2016 du 23 mai 2017 consid. 2.2).</w:t>
      </w:r>
    </w:p>
    <w:p>
      <w:r>
        <w:rPr>
          <w:b/>
        </w:rPr>
        <w:t>E. 4.1</w:t>
      </w:r>
    </w:p>
    <w:p>
      <w:r>
        <w:t>et les références).</w:t>
      </w:r>
    </w:p>
    <w:p>
      <w:r>
        <w:rPr>
          <w:b/>
        </w:rPr>
        <w:t>E. 5</w:t>
      </w:r>
    </w:p>
    <w:p>
      <w:r>
        <w:t>Le délai de recours est de trente jours (art. 56 et 60 al. 1 LPGA; art. 62 al. 1 de la de loi sur la procédure administrative du 12 septembre 1985 [LPA - E 5 10]). Interjeté dans la forme (art. 61 let. b LPGA; art. 89B LPA) et le délai prévus par la loi, compte tenu de la suspension des délais du 7e jour avant Pâques au 7e jour après Pâques inclusivement (art. 38 al. 4 let. a LPGA et art. 89C let. a LPA), le recours est recevable.</w:t>
      </w:r>
    </w:p>
    <w:p>
      <w:r>
        <w:rPr>
          <w:b/>
        </w:rPr>
        <w:t>E. 6</w:t>
      </w:r>
    </w:p>
    <w:p>
      <w:r>
        <w:t>Le litige porte sur le point de savoir si les troubles présentés ensuite de l'accident du 2 avril 2019 donnent droit à des prestations de l'assurance-accidents au-delà du 17 août 2020.</w:t>
      </w:r>
    </w:p>
    <w:p>
      <w:r>
        <w:t>A/1676/2021 - 7/14 -</w:t>
      </w:r>
    </w:p>
    <w:p>
      <w:r>
        <w:rPr>
          <w:b/>
        </w:rPr>
        <w:t>E. 7.1</w:t>
      </w:r>
    </w:p>
    <w:p>
      <w:r>
        <w:t>Aux termes de l'art. 6 al. 1 LAA, l'assureur-accidents verse des prestations à l'assuré en cas d'accident professionnel, d'accident non professionnel et de maladie professionnelle.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7.2</w:t>
      </w:r>
    </w:p>
    <w:p>
      <w:r>
        <w:t>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w:t>
      </w:r>
    </w:p>
    <w:p>
      <w:r>
        <w:rPr>
          <w:b/>
        </w:rPr>
        <w:t>E. 7.3</w:t>
      </w:r>
    </w:p>
    <w:p>
      <w:r>
        <w:t>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w:t>
      </w:r>
    </w:p>
    <w:p>
      <w:r>
        <w:t>A/1676/2021 - 8/14 -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 coup du lapin » - apparaissent eux- mêmes dans le délai de 72 heures après l'accident assuré (SVR 2007 UV n. 23 p. 75; arrêt du Tribunal fédéral des assurances U 580/06 du 30 novembre 2007 consid. 4.1).</w:t>
      </w:r>
    </w:p>
    <w:p>
      <w:r>
        <w:rPr>
          <w:b/>
        </w:rPr>
        <w:t>E. 8.1</w:t>
      </w:r>
    </w:p>
    <w:p>
      <w:r>
        <w:t>L'existence d'un traumatisme de type « coup du lapin » et de ses suites doivent être dûment attestées par des renseignements médicaux fiables (ATF 119 V 335 consid. 1; ATF 117 V 359 consid. 4b).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«coup du lapin» à la colonne cervicale (distorsion), un traumatisme analogue à la colonne cervicale ou un traumatisme cranio-cérébral. En raison des spécificités de la jurisprudence applicable en matière de traumatisme du type «coup du lapin», l'expertise doit, en cas de confirmation du</w:t>
      </w:r>
    </w:p>
    <w:p>
      <w:r>
        <w:t>A/1676/2021 - 9/14 - diagnostic, contenir également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(ATF 134 V 109 consid. 9.5). Une expertise pluri- ou interdisciplinaire répondant aux exigences ci-dessus exposées doit notamment permettre de trancher la question de savoir quels sont les principes applicables pour examiner le caractère adéquat du lien de causalité entre un accident et des plaintes (ATF 127 V 102 consid. 5b/bb ; ATF 123 V 98 consid. 2a et les références ; RAMA 2002 n° U 470 p. 531).</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8.3</w:t>
      </w:r>
    </w:p>
    <w:p>
      <w:r>
        <w:t>Ainsi, en principe, lorsqu’au stade de la procédure administrative, une expertise confiée à un médecin indépendant est établie par un spécialiste reconnu, sur la base d'observations approfondies et d'investigations complètes, ainsi qu'en</w:t>
      </w:r>
    </w:p>
    <w:p>
      <w:r>
        <w:t>A/1676/2021 - 10/14 - pleine connaissance du dossier, et que l'expert aboutit à des résultats convaincants, le juge ne saurait les écarter aussi longtemps qu'aucun indice concret ne permet de douter de leur bien-fondé (ATF 125 V 351 consid. 3b/bb).</w:t>
      </w:r>
    </w:p>
    <w:p>
      <w:r>
        <w:rPr>
          <w:b/>
        </w:rPr>
        <w:t>E. 8.4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w:t>
      </w:r>
    </w:p>
    <w:p>
      <w:r>
        <w:rPr>
          <w:b/>
        </w:rPr>
        <w:t>E. 8.5</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w:t>
      </w:r>
    </w:p>
    <w:p>
      <w:r>
        <w:rPr>
          <w:b/>
        </w:rPr>
        <w:t>E. 8.6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w:t>
      </w:r>
    </w:p>
    <w:p>
      <w:r>
        <w:t>A/1676/2021 - 11/14 -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8.7</w:t>
      </w:r>
    </w:p>
    <w:p>
      <w:r>
        <w:t>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w:t>
      </w:r>
    </w:p>
    <w:p>
      <w:r>
        <w:t>A/1676/2021 - 12/14 -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11.1</w:t>
      </w:r>
    </w:p>
    <w:p>
      <w:r>
        <w:t>En l'espèce, l'intimée a considéré, sur la base du dossier médical, que le recourant ‒ dont le motocycliste a été percuté par l'arrière ‒ a été victime d'un traumatisme cervical de type « coup de lapin » (il présentait des cervicalgies avec des céphalées et des vertiges, irradiant dans le bras droit), sans que la preuve d'un déficit organique n'ait été apportée. S'appuyant sur l'avis de ses médecins d'arrondissement, elle a écarté dès le 17 août 2020 au plus tard l'existence d'un lien de causalité adéquate entre les troubles dont le recourant se plaignait encore et l'événement accidentel. Le recourant reproche à l'intimée d'avoir nié la présence d'un substrat organique, en se référant aux rapports de ses médecins traitants.</w:t>
      </w:r>
    </w:p>
    <w:p>
      <w:r>
        <w:rPr>
          <w:b/>
        </w:rPr>
        <w:t>E. 11.2</w:t>
      </w:r>
    </w:p>
    <w:p>
      <w:r>
        <w:t>Certes, selon le rapport du 14 novembre 2019 de la CRR, où le recourant a été soumis à une évaluation interdisciplinaire, celui-ci souffre d'un état douloureux chronique diffus, sans lésion anatomique identifiée. À cette fin, les médecins de la CRR, spécialistes FMH en neurologie, respectivement en médecine interne générale et en rhumatologie, ainsi qu'en psychiatrie et psychothérapie, ont étudié le dossier, y compris les documents d'imagerie, tenu compte des plaintes du recourant, et procédé à son examen clinique. Si les radiographies et IRM pratiquées le jour de l'accident, puis en juin et juillet 2019 ont mis en évidence notamment une discopathie C6-C7 modérée (dans une moindre mesure C5-C6) ainsi qu'une tendinopathie du sus-épineux de l'épaule droite, les médecins de la CRR ont néanmoins souligné que les imageries ne révélaient aucune atteinte traumatique (p. 6-7). Or, postérieurement à cette évaluation, l'électromyogramme du 20 novembre 2019 a montré une atteinte tronculaire des deux ulnaires au coude. Dans son rapport du 21 juillet 2020, le Dr I______ a constaté des signes discrets d'atteinte des voies visuo-oculomotrices centrales. Dans son rapport du 15 décembre 2020, le Dr F______ a fait état d'une aggravation des sensations vertigineuses. Si, on peut effectivement admettre, sur la base du rapport de la CRR et des imageries, que, sur le plan orthopédique (épaule droite, rachis cervical et lombaire), le recourant ne présente pas de lésion organique en relation avec l'accident, en revanche, aucun médecin de l'intimée ne discute des atteintes constatées sur l'électromyogramme du 20 novembre 2019 ainsi que par le Dr I______. La Dresse J______ se contente, dans son appréciation du 18</w:t>
      </w:r>
    </w:p>
    <w:p>
      <w:r>
        <w:t>A/1676/2021 - 13/14 - septembre 2020, de conclure qu'il n'existe pas d'atteinte objectivée sur le plan ORL, motif pris que le Dr I______ a retenu une fonction vestibulaire périphérique normale. Elle ne s'est cependant pas prononcée sur l'atteinte des voies visuo- oculomotrices centrales. On ignore donc, d'une part, si l'atteinte tronculaire des deux ulnaires au coude est en relation de causalité naturelle avec l'accident, et d'autre part, si l'atteinte des voies visuo-oculomotrices centrales entraîne la symptomatologie manifestée par le recourant (céphalées et vertiges qui se sont aggravés d'après le Dr F______). Sur ce, on se demande s'il existe ou non un substrat organique aux troubles présentés par le recourant (céphalées, vertiges, ainsi qu'au niveau des coudes).</w:t>
      </w:r>
    </w:p>
    <w:p>
      <w:r>
        <w:rPr>
          <w:b/>
        </w:rPr>
        <w:t>E. 11.3</w:t>
      </w:r>
    </w:p>
    <w:p>
      <w:r>
        <w:t>Force est ainsi de constater que l’intimée n’a pas suffisamment instruit la situation médicale du recourant. Il convient ainsi de lui renvoyer la cause afin qu’elle mette en œuvre une expertise indépendante sur le plans neurologique et ORL (comme l'avait du reste suggéré le Dr H______ dans son appréciation du 9 septembre 2020), et qu'elle invite expressément les experts à répondre aux questions en suspens par des investigations réalisées au moyen d'appareils diagnostic ou d'imagerie reconnues scientifiquement (arrêt du Tribunal fédéral 8C_720/2012 du 15 octobre 2013 consid. 4).</w:t>
      </w:r>
    </w:p>
    <w:p>
      <w:r>
        <w:rPr>
          <w:b/>
        </w:rPr>
        <w:t>E. 12</w:t>
      </w:r>
    </w:p>
    <w:p>
      <w:r>
        <w:t>Au vu de ce qui précède, le recours sera partiellement admis, la décision litigieuse annulée et le dossier renvoyé à l’intimée afin qu’elle procède conformément aux considérants, et rende une nouvelle décision.</w:t>
      </w:r>
    </w:p>
    <w:p>
      <w:r>
        <w:rPr>
          <w:b/>
        </w:rPr>
        <w:t>E. 13</w:t>
      </w:r>
    </w:p>
    <w:p>
      <w:r>
        <w:t>Le recourant, représenté par un mandataire, obtient partiellement gain de cause, de sorte qu’il a droit à une indemnité de dépens, que la chambre de céans fixe en l’occurrence à CHF 800.- (art. 89H al. 3 de la loi sur la procédure administrative du 12 septembre 1985 [LPA - E 5 10] ; art. 6 du règlement sur les frais, émoluments et indemnités en procédure administrative du 30 juillet 1986 [RFPA - E 5 10.03]). Pour le surplus, la procédure est gratuite (art. 61 let. fbis a contrario LPGA).</w:t>
      </w:r>
    </w:p>
    <w:p>
      <w:r>
        <w:t>A/1676/2021 - 14/14 -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