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ATAS/1256/2013 vom 17. Dezember 2013</w:t>
      </w:r>
    </w:p>
    <w:p>
      <w:r>
        <w:t>GE Cour de justice, 2013-12-17, FR</w:t>
      </w:r>
    </w:p>
    <w:p>
      <w:r>
        <w:rPr>
          <w:b/>
        </w:rPr>
        <w:t xml:space="preserve">Quelle: </w:t>
      </w:r>
      <w:r>
        <w:t>https://mcp.opencaselaw.ch/entscheid/ge_gerichte_ATAS_1256_2013</w:t>
      </w:r>
    </w:p>
    <w:p>
      <w:r>
        <w:t>FR: GE_GERICHTE ATAS/1256/2013 du 17 décembre 2013</w:t>
      </w:r>
    </w:p>
    <w:p>
      <w:r>
        <w:t>IT: GE_GERICHTE ATAS/1256/2013 del 17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les gains pris en considération par l’OAI pour déterminer le degré d’invalidité.</w:t>
      </w:r>
    </w:p>
    <w:p>
      <w:r>
        <w:rPr>
          <w:b/>
        </w:rPr>
        <w:t>E. 4</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Selon l'art. 28 LAI, l'assuré a droit à une rente aux conditions suivantes (al. 1)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La rente est échelonnée selon le taux d’invalidité (al. 2) : 40% au moins donne droit à un quart de rente; 50% au moins à une demie rente; 60% au moins à un trois quarts de rente et 70% au moins à une rente entière.</w:t>
      </w:r>
    </w:p>
    <w:p>
      <w:r>
        <w:t>A/1613/2013 - 8/13 -</w:t>
      </w:r>
    </w:p>
    <w:p>
      <w:r>
        <w:rPr>
          <w:b/>
        </w:rPr>
        <w:t>E. 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w:t>
      </w:r>
    </w:p>
    <w:p>
      <w:r>
        <w:rPr>
          <w:b/>
        </w:rPr>
        <w:t>E. 8</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9</w:t>
      </w:r>
    </w:p>
    <w:p>
      <w:r>
        <w:t>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w:t>
      </w:r>
    </w:p>
    <w:p>
      <w:r>
        <w:t>A/1613/2013 - 9/13 - non publiés I 168/05 du 24 avril 2006, consid. 3.3 et B 80/01 du 17 octobre 2003, consid. 5.2.2). Il faut tenir compte des augmentations de salaire qui seraient intervenues pour des raisons d’ancienneté ou de changement dans la situation familiale, et des chances réelles d’avancement que le handicap a compromises. En revanche, de simples possibilités théoriques d’avancement ne peuvent pas être prises en considération (RCC 1963 p. 220). On ne tient pas compte des frais accessoires au salaire à la charge de l’employeur et non soumis aux cotisations AVS (RCC 1986 p. 432). Pour déterminer le revenu sans invalidité, l’office AI adresse à l’employeur de l’assuré un questionnaire (Circulaire sur l’invalidité et l’impotence dans l’assurance-invalidité (CIIAI), valable à partir du 1er janvier 2013, nos 3026, 3027 et 3028)</w:t>
      </w:r>
    </w:p>
    <w:p>
      <w:r>
        <w:rPr>
          <w:b/>
        </w:rPr>
        <w:t>E. 10</w:t>
      </w:r>
    </w:p>
    <w:p>
      <w:r>
        <w:t>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w:t>
      </w:r>
    </w:p>
    <w:p>
      <w:r>
        <w:rPr>
          <w:b/>
        </w:rPr>
        <w:t>E. 11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pour autant qu'ils ne soient pas déjà pris en compte dans la mise en parallèle des revenus à comparer,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130 III 176 consid. 1.2,</w:t>
      </w:r>
    </w:p>
    <w:p>
      <w:r>
        <w:t>A/1613/2013 - 10/13 - ATF 126 V 75 consid. 6, ATF 123 V 150 consid. 2 et les références; ATF non publié 8C_337/2009 du 18 février 2010, consid. 7.5).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(9C_187/2011). La jurisprudence admet une déduction sur le salaire du barème au titre du taux d’occupation pour des hommes qui, pour raisons de santé, ne peuvent plus travailler qu’à temps partiel (alors qu’ils travaillaient auparavant à plein temps). Par contre, le fait qu’une personne en principe capable de travailler à plein temps n’ait plus qu’une capacité de travail réduite en raison d’une maladie ne justifie pas une déduction allant plus loin que la prise en compte de la capacité de travail réduite et donc du rendement (8C_20/2012 consid. 3.2). La déduction au titre du travail à temps partiel s’ajoute à la déduction liée à l’atteinte à la santé, la déduction totale ne pouvant toutefois excéder 25 % (CIIAI, nos 3067.1 à 3067.4)</w:t>
      </w:r>
    </w:p>
    <w:p>
      <w:r>
        <w:rPr>
          <w:b/>
        </w:rPr>
        <w:t>E. 12</w:t>
      </w:r>
    </w:p>
    <w:p>
      <w:r>
        <w:t>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En l'espèce, il n'est pas contesté que l'assuré peut travailler à 50% dans son activité habituelle de poseur de faux-plafonds, et à 100% dans le cadre d'une activité adaptée. L'OAI a ainsi considéré que l'assuré présentait un degré d'invalidité de 36%, après avoir comparé un revenu annuel brut avec invalidité de 51'990 fr., et un revenu annuel brut sans invalidité de 81'510 fr.</w:t>
      </w:r>
    </w:p>
    <w:p>
      <w:r>
        <w:rPr>
          <w:b/>
        </w:rPr>
        <w:t>E. 14</w:t>
      </w:r>
    </w:p>
    <w:p>
      <w:r>
        <w:t>L'assuré conteste l’année retenue par l’OAI pour déterminer ces revenus et considère qu’il y a lieu de se fonder sur l’année 2011, année durant laquelle son contrat de travail a été résilié. Or, le moment déterminant selon la jurisprudence précitée, est celui de la naissance du droit à la rente, soit en l'occurrence 2010. C’est donc à bon droit que l’OAI s’est fondé sur l’année 2010.</w:t>
      </w:r>
    </w:p>
    <w:p>
      <w:r>
        <w:rPr>
          <w:b/>
        </w:rPr>
        <w:t>E. 15</w:t>
      </w:r>
    </w:p>
    <w:p>
      <w:r>
        <w:t>S'agissant du revenu sans invalidité, l'assuré considère qu'il conviendrait d'ajouter au revenu de 81'510 fr. pris en compte par l’OAI, les indemnités forfaitaires pour déplacements et indemnités de repas.</w:t>
      </w:r>
    </w:p>
    <w:p>
      <w:r>
        <w:t>A/1613/2013 - 11/13 -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Selon l'art. 9 RAVS, dans sa version - applicable en l'occurrence (cf. ATF 130 V 445 consid. 1.2.1 p. 447; 127 V 466 consid. 1 p. 467) - en vigueur jusqu'au 31 décembre 2008, les frais généraux sont les dépenses résultant pour le salarié de l'exécution de ses travaux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Dans un arrêt 8C_430/2010 du 28 septembre 2010, le TF a considéré qu'une indemnité forfaitaire pour repas versée chaque mois à un travailleur, faisait partie du salaire déterminant soumis à cotisations AVS, lorsque le lieu de travail se trouvait sur des chantiers extérieurs plus ou moins éloignés, pour autant toutefois que ladite indemnité soit mentionnée dans le compte salaire de l'employeur au titre du salaire brut mensuel sur lequel des cotisations paritaires avaient été prélevées. Aussi a-t-il refusé de tenir compte d'indemnités lorsque celles-ci sont allouées en sus du salaire mensuel brut et qu'elles ne sont pas soumises à cotisations sociales (ATF 8C_964/2012 du 16 septembre 2013). En l'espèce, il résulte du formulaire rempli par l'employeur du 26 octobre 2010 que le salaire mensuel que l'assuré gagnerait en 2010, sans atteinte à la santé, serait de 6'270 fr., soit 81'510 fr. par année, compte tenu du treizième salaire. L’employeur n’a indiqué aucune indemnité qui serait allouée en sus du salaire, et qui aurait été soumise à cotisations. Il n’y a dès lors pas lieu de tenir compte des indemnités alléguées.</w:t>
      </w:r>
    </w:p>
    <w:p>
      <w:r>
        <w:rPr>
          <w:b/>
        </w:rPr>
        <w:t>E. 16</w:t>
      </w:r>
    </w:p>
    <w:p>
      <w:r>
        <w:t>S’agissant du revenu d’invalidité, c'est à juste titre qu'en l'absence d'un revenu effectivement réalisé, l'OAI s'est référé aux données statistiques résultant de l'enquête suisse sur la structure des salaires ESS, soit sur le salaire que peuvent réaliser les hommes effectuant des activités simples et répétitives (ESS, Tableau TA1, 2010, niveau de qualification 4). Ce salaire annuel hypothétique se base sur une durée hebdomadaire de travail de 40 heures, inférieure à la moyenne annuelle usuelle dans les entreprises de la branche ; il convient dès lors de l'ajuster à la durée hebdomadaire normale du travail de 41.5 heures par semaine en 2010 (cf. Durée normale du travail dans les entreprises selon la division économique [NOGA 2008], en heures par semaine, publié par l'Office fédéral de la statistique, , ce qui porte le salaire annuel à 61'164 fr. pour l'année 2010.</w:t>
      </w:r>
    </w:p>
    <w:p>
      <w:r>
        <w:t>A/1613/2013 - 12/13 - Il est vrai que de février 2009 à février 2010, l’assuré a en réalité travaillé à raison de 50%. Il ne se justifierait pas dans ces conditions de se référer aux données statistiques, l’assuré ayant réalisé effectivement un salaire. Il y a toutefois lieu de rappeler que l’assuré a été considéré comme capable de travailler à plein temps dans une activité adaptée, ce qui implique finalement le recours aux données statistiques.</w:t>
      </w:r>
    </w:p>
    <w:p>
      <w:r>
        <w:rPr>
          <w:b/>
        </w:rPr>
        <w:t>E. 17</w:t>
      </w:r>
    </w:p>
    <w:p>
      <w:r>
        <w:t>L'assuré considère qu'un abattement de 20% devrait lui être accordé, en lieu et place des 15% retenus par l'OAI.</w:t>
      </w:r>
    </w:p>
    <w:p>
      <w:r>
        <w:rPr>
          <w:b/>
        </w:rPr>
        <w:t>E. 18</w:t>
      </w:r>
    </w:p>
    <w:p>
      <w:r>
        <w:t>En l’espèce, la Chambre de céans considère que le taux d’abattement de 15 % apparaît approprié, compte tenu des critères objectifs retenus par l’OAI (âge et limitations fonctionnelles). Le revenu d’invalide est ainsi de 51'990 fr. ; comparé au revenu de valide, le degré d’invalidité est de 36 %, insuffisant pour ouvrir le droit à une rente d’invalidité, mais suffisant pour des mesures de réadaptation. L'OAI les a néanmoins refusées, au motif que la mise en place d'une quelconque mesure professionnelle serait vraisemblablement vouée à l'échec. Force est à cet égard de constater qu’en effet l’assuré se considère comme inapte à reprendre un emploi, même dans une activité adaptée, de sorte que la prise en charge de mesures professionnelles paraît inutile. Aussi le recours est-il rejeté.</w:t>
      </w:r>
    </w:p>
    <w:p>
      <w:r>
        <w:t>A/1613/2013 - 13/13 -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