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ATAS/1256/2011 vom 8. April 2011</w:t>
      </w:r>
    </w:p>
    <w:p>
      <w:r>
        <w:t>GE Cour de justice, 2011-04-08, FR</w:t>
      </w:r>
    </w:p>
    <w:p>
      <w:r>
        <w:rPr>
          <w:b/>
        </w:rPr>
        <w:t xml:space="preserve">Quelle: </w:t>
      </w:r>
      <w:r>
        <w:t>https://mcp.opencaselaw.ch/entscheid/ge_gerichte_ATAS_1256_2011</w:t>
      </w:r>
    </w:p>
    <w:p>
      <w:r>
        <w:t>FR: GE_GERICHTE ATAS/1256/2011 du 8 avril 2011</w:t>
      </w:r>
    </w:p>
    <w:p>
      <w:r>
        <w:t>IT: GE_GERICHTE ATAS/1256/2011 del 8 aprile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Conformément à l’art. 23 al. 1 RAVS, il incombe en règle générale aux autorités fiscales d’établir le revenu déterminant le calcul des cotisations d’indépendants en se fondant sur la taxation passée en force de l’impôt fédéral direct. Les caisses de compensation sont, elles, liées par les données correspondantes des autorités fiscales (art. 23 al. 4 RAVS).</w:t>
      </w:r>
    </w:p>
    <w:p>
      <w:r>
        <w:t>A/2150/2011 - 3/4 -</w:t>
      </w:r>
    </w:p>
    <w:p>
      <w:r>
        <w:rPr>
          <w:b/>
        </w:rPr>
        <w:t>E. 4</w:t>
      </w:r>
    </w:p>
    <w:p>
      <w:r>
        <w:t>En l’espèce, dans la mesure où le sort de la présente cause dépendra des données résultant de la taxation fiscale 2010 du recourant, il se justifie dès lors de suspendre l’instruction de celle-ci jusqu’à réception des informations fiscales utiles.</w:t>
      </w:r>
    </w:p>
    <w:p>
      <w:r>
        <w:t>A/2150/2011 - 4/4 -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