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ATAS/1253/2009 vom 8. Oktober 2009</w:t>
      </w:r>
    </w:p>
    <w:p>
      <w:r>
        <w:t>GE Cour de justice, 2009-10-08, FR</w:t>
      </w:r>
    </w:p>
    <w:p>
      <w:r>
        <w:rPr>
          <w:b/>
        </w:rPr>
        <w:t xml:space="preserve">Quelle: </w:t>
      </w:r>
      <w:r>
        <w:t>https://mcp.opencaselaw.ch/entscheid/ge_gerichte_ATAS_1253_2009</w:t>
      </w:r>
    </w:p>
    <w:p>
      <w:r>
        <w:t>FR: GE_GERICHTE ATAS/1253/2009 du 8 octobre 2009</w:t>
      </w:r>
    </w:p>
    <w:p>
      <w:r>
        <w:t>IT: GE_GERICHTE ATAS/1253/2009 del 8 ottobre 2009</w:t>
      </w:r>
    </w:p>
    <w:p>
      <w:pPr>
        <w:pStyle w:val="Heading2"/>
      </w:pPr>
      <w:r>
        <w:t>Erwägungen</w:t>
      </w:r>
    </w:p>
    <w:p>
      <w:r>
        <w:rPr>
          <w:b/>
        </w:rPr>
        <w:t>E. 1</w:t>
      </w:r>
    </w:p>
    <w:p>
      <w:r>
        <w:t>Conformément à l'art. 56V al. 1 let. a ch. 2 de la loi sur l'organisation judiciaire du 22 novembre 1941 (LOJ; RS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 roulés postérieurement à son entrée en vigueur (ATF 130 V 446 consid. 1; ATF 129 V 4 consid. 1.2). Les modifications légales contenues dans la LPGA constituent, en règle générale, une version formalisée dans la loi, de la jurisprudence relative aux notions correspondantes avant l'entrée en vigueur de la LPGA; il n'en découle au- cune modification du point de vue de leur contenu, de sorte que la jurisprudence</w:t>
      </w:r>
    </w:p>
    <w:p>
      <w:r>
        <w:t>A/2986/2008 - 6/13 - développée à leur propos peut être reprise et appliquée (ATF 130 V 345 consid. 3). Les modifications de la LAI du 6 octobre 2006 (5ème révision de la LAI), entrées en vigueur le 1er janvier 2008, sont régies par le même principe et sont donc applica- bles.</w:t>
      </w:r>
    </w:p>
    <w:p>
      <w:r>
        <w:rPr>
          <w:b/>
        </w:rPr>
        <w:t>E. 3</w:t>
      </w:r>
    </w:p>
    <w:p>
      <w:r>
        <w:t>La décision du 17 juin 2008 a été reçue le 19 juin 2008. Etant rappelé que les délais sont suspendus du 15 juillet au 15 août inclusivement (art. 38 al. 4 let. b et 60 al. 2 LPGA), le recours du 18 août 2009 a donc été formé en temps utile (art. 38 al. 1, 39 al. 1 et 60 al. 2 LPGA). Interjeté dans les forme et délai prévus par la loi, le recours est recevable (56ss LPGA).</w:t>
      </w:r>
    </w:p>
    <w:p>
      <w:r>
        <w:rPr>
          <w:b/>
        </w:rPr>
        <w:t>E. 4</w:t>
      </w:r>
    </w:p>
    <w:p>
      <w:r>
        <w:t>Le litige porte sur le droit du recourant à des mesures de réadaptation profession- nelle sous forme d’orientation professionnelle et de reclassement.</w:t>
      </w:r>
    </w:p>
    <w:p>
      <w:r>
        <w:rPr>
          <w:b/>
        </w:rPr>
        <w:t>E. 5</w:t>
      </w:r>
    </w:p>
    <w:p>
      <w:r>
        <w:t>février 2004, consid. 2.2). Par reclassement, la jurisprudence entend l'ensemble des mesures de réadaptation de nature professionnelle qui sont nécessaires et suffisantes pour procurer à l'assuré une possibilité de gain à peu près équivalente à celle que lui offrait son ancienne ac- tivit. (ATF 124 V 108 consid. 2a et les références; VSI 2002 p. 109 consid. 2a).</w:t>
      </w:r>
    </w:p>
    <w:p>
      <w:r>
        <w:t>A/2986/2008 - 7/13 - Sont réputées nécessaires et appropriées toutes les mesures de réadaptation profes- sionnelle qui contribuent directement à favoriser la réadaptation dans la vie active (ATF 124 V 108 consid. 2a; VSI 1997 p. 85 consid 1). Le fait que l'assuré ne peut plus exercer sa profession antérieure ne suffit pas, à lui seul, pour fonder un droit à un reclassement. Car l'assuré n'a pas droit à des mesures de réadaptation s'il ne subit pas une perte de gain permanente ou de longue durée (20 % au moins) dans une activité raisonnablement exigible et pouvant être exercée sans autres mesures de réadaptation (ATF 124 V 108 consid. 2b et les références; MEYER-BLASER, Bundesgesetz über die Invalidenversicherung [IVG], Die Rech- tsprechung des Bundesgerichts zum Sozialversicherungsrecht, Zurich 1997, p. 124 ss).</w:t>
      </w:r>
    </w:p>
    <w:p>
      <w:r>
        <w:rPr>
          <w:b/>
        </w:rPr>
        <w:t>E. 6</w:t>
      </w:r>
    </w:p>
    <w:p>
      <w:r>
        <w:t>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 signation, mais son contenu. A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125 V 351 consid. 3). Sans remettre en cause le principe de la libre appréciation des preuves, le Tribunal fédéral a posé des lignes directrices en ce qui concerne la manière d’apprécier cer- 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 fondé. Le simple fait que le médecin consulté est lié à l’assureur par un rapport de travail ne permet pas encore de douter de l’objectivité de son appréciation ni de soupçonner une prévention à l’égard de l’assuré. Ce n’est qu’en présence de cir- constances particulières que les doutes au sujet de l’impartialité d’une appréciation peuvent être considérés comme objectivement fondés. Étant donné l’importance conférée aux rapports médicaux dans le droit des assurances sociales, il y a lieu tou- tefois de poser des exigences sévères quant à l’impartialité de l’expert (ATF 125 V 351 consid. 3b/ee; ATFA non publié I 592/99 du 13 mars 2000).</w:t>
      </w:r>
    </w:p>
    <w:p>
      <w:r>
        <w:t>A/2986/2008 - 8/13 - Une expertise médicale établie sur la base d’un dossier peut avoir valeur probante pour autant que celui-ci contienne suffisamment d’appréciations médicales qui, el- les, se fondent sur un examen personnel de l’assuré (cf. RAMA 2001 n° U 438 p. 346 consid. 3d).</w:t>
      </w:r>
    </w:p>
    <w:p>
      <w:r>
        <w:rPr>
          <w:b/>
        </w:rPr>
        <w:t>E. 7</w:t>
      </w:r>
    </w:p>
    <w:p>
      <w:r>
        <w:t>En l’espèce, le Tribunal constate que les trois médecins qui se sont prononcés, à savoir la Dresse L_________, le Dr M_________ et le Dr N_________ ont tous trois estimé que le recourant ne peut plus exercer son activité de maçon mais qu’il dispose d’une capacité résiduelle de travail entière dans une activité adaptée. En re- vanche, l’appréciation faite par ces trois médecins des limitations fonctionnelles du recourant est quelque peu divergente dès lors que le médecin traitant retient des li- mitations quasiment dans toutes les fonctions et que les Drs M_________ et N_________ ne sont pas unanimes quant aux poids que le recourant peut encore soulever (10 kilos selon le premier et 5 kilos selon le second). Ces divergences ne sont toutefois pas fondamentales puisqu’il y a consensus sur le fait que les limita- tions fonctionnelles consistent en une épargne du dos et en une limitation du port de charges. Au demeurant, on ne voit pas en quoi les autres limitations mentionnées par la Dresse L_________ ne permettraient pas au recourant de mettre en œuvre sa capacité résiduelle de travail dans une activité légère épargnant le dos. Le rapport des maîtres socioprofessionnels des HUG du 12 janvier 2009, fait quant à lui état d’une hernie discale lombaire, de paresthésies à la jambe gauche et d’un blocage fréquent du genou gauche. Il précise que lorsque les douleurs au genou gauche devenaient insupportables, le recourant arrêtait tout travail pour rechercher une position antalgique. Certes, le blocage du genou gauche et l’état de stress important et de tension ner- veuse mentionnés dans ce rapport n’ont été décrits par aucun des autres médecins. Cependant, ces atteintes se sont manifestées postérieurement à la décision de l’OCAI, ce que confirme la décision de l’OCE, qui ne conclut à l’inaptitude au pla- cement qu’à compter du 13 janvier 2009. Or, le juge des assurances sociales fonde sa décision, sauf dispositions contraires de la loi, sur les faits existants au moment où la décision litigieuse a été rendue. Les faits survenus postérieurement et qui ont modifié la situation doivent faire l'objet d'une nouvelle décision administrative (ATF 121 V 366 consid. 1b et les arrêts cités). Par conséquent, les troubles psychi- ques et l’atteinte du genou gauche mentionnés dans le rapport des HUG du 12 jan- vier 2009 ne seront pas pris en compte dans le cadre de la présente procédure, la- quelle se limite aux faits existant jusqu’à la date de la décision litigieuse, soit au 17 juin 2008. Il est cependant loisible à l’assuré de saisir l'administration d'une nou- velle demande de prestations, s’il établit que, postérieurement à la décision liti- gieuse, son état de santé s'est modifié de manière à influencer ses droits.</w:t>
      </w:r>
    </w:p>
    <w:p>
      <w:r>
        <w:rPr>
          <w:b/>
        </w:rPr>
        <w:t>E. 8</w:t>
      </w:r>
    </w:p>
    <w:p>
      <w:r>
        <w:t>Il y a à présent lieu de vérifier le calcul du degré d’invalidité auquel l’intimé a pro- cédé.</w:t>
      </w:r>
    </w:p>
    <w:p>
      <w:r>
        <w:t>A/2986/2008 - 9/13 - La comparaison des revenus s'effectue, en règle ordinaire, en chiffrant aussi exac- tement que possible les montants de ces deux revenus et en les confrontant l'un avec l'autre, la différence permettant de calculer le taux d'invalidité (méthode géné- rale de comparaison des revenus; ATF 128 V 30 consid. 1 et ATF 104 V 136 consid. 2a et 2b). Pour procéder à la comparaison des revenus, il convient de se pla- 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ATF128 V 174). En règle générale, le revenu hypothétique de la personne valide se détermine en établissant au degré de la vraisemblance prépondérante ce qu'elle aurait effective- ment pu réaliser au moment déterminant si elle était en bonne santé (ATF 129 V 224 consid. 4.3.1 et la référence). Hypothétique, le revenu sans invalidité n'en doit pas moins être évalué de manière aussi concrète que possible. C'est pourquoi il convient, en règle générale, de se référer au dernier salaire que l'assuré a obtenu avant l'atteinte à la santé, qui équivaut normalement à une prestation de travail cor- respondante (REAS 2004 p. 239; MEYER-BLASER, Bundesgesetz über die Inva- lidenversicherung [IVG], 1997, p. 205-206). Ce n'est qu'en présence de circonstan- ces particulières qu'il peut se justifier qu'on s'en écarte et qu'on recoure aux données statistiques résultant de l’ESS édité par l'Office fédéral de la statistique. Tel sera le cas lorsqu'on ne dispose d'aucun renseignement au sujet de la dernière activité pro- fessionnelle de l'assuré ou si le dernier salaire que celui-ci a perçu ne correspond manifestement pas à ce qu'il aurait été en mesure de réaliser, selon toute vraisem- blance, en tant que personne valide; par exemple, lorsqu'avant d'être reconnu défini- 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 nant de l'évaluation de l'invalidité (cf. ATFA non publié B 80/01. du 17 octobre 2003, consid. 5.2.2 précité et les références).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(ATF 126 V 75. consid. 3b/aa et bb). On se réfère alors à la statistique des salaires bruts standardisés, en se fondant tou- jours sur la médiane ou valeur centrale (ATF 124 V 321 consid. 3b/bb).</w:t>
      </w:r>
    </w:p>
    <w:p>
      <w:r>
        <w:t>A/2986/2008 - 10/13 - La mesure dans laquelle les salaires ressortant des statistiques doivent être réduits, dépend de l'ensemble des circonstances personnelles et professionnelles du cas par- ticulier (limitations liées au handicap, âge, années de service, nationalité/catégorie d'autorisation de séjour et taux d'occupation) et résulte d'une évaluation dans les li- mites du pouvoir d'appréciation. Une déduction globale maximum de 25 % sur le salaire statistique permet de tenir compte des différents éléments qui peuvent in- fluencer le revenu d'une activité lucrative (ATF 126 V 75 consid. 5b/aa-cc).</w:t>
      </w:r>
    </w:p>
    <w:p>
      <w:r>
        <w:rPr>
          <w:b/>
        </w:rPr>
        <w:t>E. 9</w:t>
      </w:r>
    </w:p>
    <w:p>
      <w:r>
        <w:t>En application de l'art. 29 al. 1 let. b LAI, pour procéder à la comparaison des reve- nus, il convient de se placer en 2008 puisque l'incapacité de travail de longue durée est attestée depuis le 12 février 2008 et que la demande de prestations date du 12 mars de la même année. Etant donné qu’à cette époque, le recourant se trouvait au chômage depuis novem- bre 2005, il y a lieu de déterminer tant le revenu d’invalide que le revenu sans inva- lidité sur la base des données statistiques telles qu'elles résultent de l'ESS. S’agissant du revenu sans invalidité, puisqu’en 2005 à la fin de sa mission tempo- raire, le recourant avait une dizaine d’années d’expérience dans l’activité de maçon, il faut admettre que, même s’il n’a pas de formation théorique validée par un certi- ficat, il y a également lieu de tenir compte de l'expérience qu’il a acquise dans cette activité d’autant plus que le dernier employeur a précisé que l’assuré était considéré comme maçon qualifié de catégorie A (cf. ATFA non publié I 22/06 du 19 janvier 2007, consid. 3.1.2). Par conséquent, il convient de prendre en considération le ni- veau 3 et la moyenne du domaine d’activité de la construction (ESS 2006, TA7, secteur 11), soit un salaire mensuel de 5’390 fr., respectivement de 64’680 fr. par année. Il y a lieu d’adapter ces chiffres à l’évolution des salaires nominaux en 2007 et 2008 soit 3.6% au total pour un homme dans le secteur de la construction (OFS, indice des salaires nominaux pour les hommes table T1.1.05), ce qui représente un montant de 67'008 fr. 50 (64'680 + 3.6%). Puisque les salaires bruts standardisés sont fondés sur un horaire de travail de quarante heures (ATF 129 V 410 consid. 3.1.2), ce revenu statistique doit encore être adapté à l'horaire de travail en 2008 (41.6 h./sem. dans le secteur de la construction selon OFS, durée normale de travail dans les entreprises), ce qui conduit à un revenu avant invalidité de 69'688 fr. 85 (67'008.50 x 41.6 : 40). Pour ce qui est du revenu d'invalide, il convient de se référer à celui que pourrait obtenir le recourant en exerçant une activité adaptée, c'est-à-dire légère et favori- sant l'alternance des positions. Le salaire de référence est celui auquel peuvent pré- tendre les hommes effectuant des activités simples et répétitives dans le secteur pri- vé (ESS 2006, TA1, niveau de qualification 4). Il s'élève en 2006 à 56'784 fr. (4’732 x 12) part au 13ème salaire comprise et, compte tenu de l’évolution des salai- res nominaux pour les hommes de 2006 à 2008 de 3.8%, à 58'941 fr. 80 en 2008 (56'784 + 3.8%). Le revenu statistique doit encore être adapté à l'horaire de travail</w:t>
      </w:r>
    </w:p>
    <w:p>
      <w:r>
        <w:t>A/2986/2008 - 11/13 - en 2008 qui est de 41.6 heures par semaine (OFS, durée normale de travail dans les entreprises) soit à 61'299 fr. 45 (58'941.80 x 41.6 : 40). S’agissant de l’abattement, il convient de tenir compte du fait que le recourant ne peut exercer qu'une activité légère – laquelle sera moins bien rémunérée qu'un travail impliquant le port de charges – et d’admettre, à l’instar de l’intimé, une réduction de 10%, ce qui ramène le revenu d’invalide à 55'169 fr. 50 (61'299.45 x 90%). En revanche, il n’y a pas lieu de tenir compte du fait que la scolarité de l’assuré s’est limitée à l'école pri- maire puisque tant dans la demande de prestations que dans le curriculum vitae qu’il a établi pour l’OCE, le recourant indique avoir également fréquenté l’école secondaire au Portugal. Il n’est pas davantage justifié de prendre en considération la nationalité étrangère du recourant puisque ce dernier est au bénéfice d'un permis d'établissement et que les salaires statistiques sont établis en fonction de la popula- tion résidente aussi bien suisse qu'étrangère (ATFA non publié I 700/04 du 17 jan- vier 2006, consid. 4.3.3). Quant aux difficultés linguistiques invoquées par l’intéressé, elles ne sont mentionnées ni par les maîtres socioprofessionnels, ni par le médecin traitant. La question de savoir si cet élément est avéré peut rester non ré- solue car, de toute évidence, l’éventuelle mauvaise maîtrise du français n’a pas em- pêché le recourant de travailler auparavant. Ce facteur ne justifie donc pas de réduc- tion de salaire supplémentaire. Il y a lieu de relever que, dans son calcul du taux d’invalidité, l’intimé a pris en considération la situation de revenu en 2007 - alors que l’incapacité de travail dura- ble a débuté en 2008 - et qu’il a déterminé le revenu sans invalidité en tenant compte du niveau 4 alors que le recourant doit être considéré comme un employé qualifié. En définitive, eu égard aux explications qui précèdent, le taux d’invalidité du recou- rant s’établit à 21% (69'688.85-55'169.50 : 69'685.85 x 100), ce qui lui donne en principe droit à des mesures de réadaptation, pour autant que les autres conditions soient réalisées. En effet, le recourant ne saurait tirer un droit à une mesure de re- classement du seul fait qu'il présente une incapacité de gain supérieure à 20%, l’octroi de ces mesures étant soumis à d'autres conditions légales prévues à l’art. 8 al. 1 LAI (cf. consid. 4). Pour déterminer si une mesure est de nature à rétablir, améliorer, sauvegarder ou à favoriser l'usage de la capacité de gain d'un assuré, il convient d'effectuer un pro- nostic sur les chances de succès des mesures demandées (cf. ATF 110 V 101 consid. 2), qui ne seront pas allouées si elles sont vouées à l'échec, selon toute vrai- semblance. En effet, des mesures de réadaptation ne sont à la charge de l'assurance- invalidité que s'il existe une proportion raisonnable entre leur coût et leur utilité prévisible (ATFA non publié I 770/02 du 21 janvier 2004, consid. 4.3). En l’espèce, en mentionnant dans sa détermination du 24 mars 2009 que les postes de travail pouvant entrer en ligne de compte ne nécessitaient pas de formation par-</w:t>
      </w:r>
    </w:p>
    <w:p>
      <w:r>
        <w:t>A/2986/2008 - 12/13 - ticulière, l'intimé a procédé à une évaluation théorique de la situation puisqu’il n’a pas cité les activités adaptées que le recourant pourrait encore exercer. Par consé- quent, il n'a pas examiné les possibilités concrètes de reclassement professionnel du recourant, eu égard aux limitations imposées par son handicap physique. Partant, il convient au préalable d’éclaircir si les activités réellement adaptées aux déficiences physiques du recourant nécessitent une formation préalable. A cet effet, l’intimé mettra en œuvre les mesures d’orientation professionnelle prévues par l’art. 15 LAI.</w:t>
      </w:r>
    </w:p>
    <w:p>
      <w:r>
        <w:rPr>
          <w:b/>
        </w:rPr>
        <w:t>E. 10</w:t>
      </w:r>
    </w:p>
    <w:p>
      <w:r>
        <w:t>Au vu de ce qui précède, le recours est admis au sens des considérants, la décision du 17 juin 2008 annulée et le dossier renvoyé à l'intimé pour instruction complé- mentaire au sens des considérants. Le recourant obtenant gain de cause, une indemnité de 2’000 fr. lui est accordée à titre de dépens (art. 61 let. g LPGA). La procédure n’étant au surplus plus gratuite depuis le 1er juillet 2006 (art. 69 al. 1bis LAI), au vu du sort du recours, il y a lieu de condamner l'intimé au paiement d'un émolument de 500 fr.</w:t>
      </w:r>
    </w:p>
    <w:p>
      <w:r>
        <w:t>A/2986/2008 - 13/13 -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