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ATAS/1252/2009 vom 8. Oktober 2009</w:t>
      </w:r>
    </w:p>
    <w:p>
      <w:r>
        <w:t>GE Cour de justice, 2009-10-08, FR</w:t>
      </w:r>
    </w:p>
    <w:p>
      <w:r>
        <w:rPr>
          <w:b/>
        </w:rPr>
        <w:t xml:space="preserve">Quelle: </w:t>
      </w:r>
      <w:r>
        <w:t>https://mcp.opencaselaw.ch/entscheid/ge_gerichte_ATAS_1252_2009</w:t>
      </w:r>
    </w:p>
    <w:p>
      <w:r>
        <w:t>FR: GE_GERICHTE ATAS/1252/2009 du 8 octobre 2009</w:t>
      </w:r>
    </w:p>
    <w:p>
      <w:r>
        <w:t>IT: GE_GERICHTE ATAS/1252/2009 del 8 ottobre 2009</w:t>
      </w:r>
    </w:p>
    <w:p>
      <w:pPr>
        <w:pStyle w:val="Heading2"/>
      </w:pPr>
      <w:r>
        <w:t>Erwägungen</w:t>
      </w:r>
    </w:p>
    <w:p>
      <w:r>
        <w:rPr>
          <w:b/>
        </w:rPr>
        <w:t>E. 1</w:t>
      </w:r>
    </w:p>
    <w:p>
      <w:r>
        <w:t>Conformément à l'art. 56V al. 1 let. a ch. 2 de la loi sur l’organisation judiciaire (LOJ; E 2 05),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a entraîné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10 avril 2008,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t>A/1715/2008 - 9/17 -</w:t>
      </w:r>
    </w:p>
    <w:p>
      <w:r>
        <w:rPr>
          <w:b/>
        </w:rPr>
        <w:t>E. 4</w:t>
      </w:r>
    </w:p>
    <w:p>
      <w:r>
        <w:t>Est litigieuse en l’espèce la question de savoir si les atteintes à la santé du recourant entraînent une perte de gain susceptible de lui ouvrir droit à des prestations de l’assurance-invalidité.</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d'invalidité ne se confond pas nécessairement avec le taux d'incapacité fonctionnelle déterminé par le médecin. b) 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217ss consid. 5 et 6).</w:t>
      </w:r>
    </w:p>
    <w:p>
      <w:r>
        <w:t>A/1715/2008 - 10/17 -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c)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d)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w:t>
      </w:r>
    </w:p>
    <w:p>
      <w:r>
        <w:t>A/1715/2008 - 11/17 - 102 V 165; VSI 2001 p. 224 s. consid. 2b et les références; ATFA I 683/03 précité, consid. 2.2.3 et les arrêts cités;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 La question de savoir si ces circonstances exceptionnelles sont réunies doit être tranchée de cas en cas à la lumière des critères rappelés supra et au premier plan desquels figure la présence d'une comorbidité psychiatrique importante par sa gravité, son acuité et sa durée. Si les limitations liées à l'exercice d'une activité résultent d'une exagération des symptômes ou d'une constellation semblable, on</w:t>
      </w:r>
    </w:p>
    <w:p>
      <w:r>
        <w:t>A/1715/2008 - 12/17 -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w:t>
      </w:r>
    </w:p>
    <w:p>
      <w:r>
        <w:t>A/1715/2008 - 13/17 - f)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g)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En substance, le recourant soutient qu’il doit se voir reconnaître un degré d’invalidité de 40% au moins et reproche à l’intimé de s’être écarté des conclusions du Dr D__________. Il demande que soit mise sur pied une nouvelle expertise.</w:t>
      </w:r>
    </w:p>
    <w:p>
      <w:r>
        <w:rPr>
          <w:b/>
        </w:rPr>
        <w:t>E. 7</w:t>
      </w:r>
    </w:p>
    <w:p>
      <w:r>
        <w:t>a) En l'espèce, la décision querellée est fondée, d’un point de vue médical, sur l’examen du Dr E_________, sur le plan somatique, et celui du Dr F_________, sur le plan psychique. b)Sur le plan somatique, force est de constater que le rapport du Dr E_________ est convaincant. Il a d’ailleurs été confirmé par le Dr D__________, qui s’y est référé en le qualifiant de « très complet ». Le chiropraticien a certes conclu - à la différence du Dr E_________ - à une capacité de travail restreinte à 50% dans une</w:t>
      </w:r>
    </w:p>
    <w:p>
      <w:r>
        <w:t>A/1715/2008 - 14/17 - activité adaptée, mais il convient de relever qu’il a justifié son avis, notamment, par le déracinement socio-culturel de l’assuré, élément que l’assurance-invalidité n’a pas à prendre en considération. Sur le plan somatique, il convient dès lors de retenir que le recourant, moyennant un traitement adapté et raisonnablement exigible de sa part, est capable d’exercer à plein temps une activité adaptée, c'est-à-dire légère, évitant le port de charges et les positions agenouillée ou en inclinaison du buste. c) Sur le plan psychique, il est vrai que les conclusions du Dr F_________ divergent de celles du Dr G_________. Cependant, le rapport du Dr F_________ emporte la conviction. En effet, il tient compte tant des plaintes de l’intéressé que des constatations cliniques et de l’ensemble du dossier médical à disposition. Ses conclusions sont claires et motivées. Il a ainsi expliqué de manière circonstanciée les raisons pour lesquelles il s’est écarté des conclusions et diagnostics posés par le Dr G_________. Ses conclusions sont du reste corroborées par le Dr E_________, lequel a également écarté toute pathologie psychique importante et estimé que l’état de l’assuré était surtout induit par sa situation socio-économique. Le Tribunal de céans ne voit dès lors pas de raison de s’écarter du rapport du Dr F_________, lequel remplit à l’évidence les critères jurisprudentiels rappelés ci- dessus pour lui conférer une pleine valeur probante. D’autant que les certificats produits par le recourant n’amènent aucun élément objectif permettant de remettre en cause les conclusions du Dr G_________, se contentant de conclure à une incapacité totale de travail, sans autre justification. Dans ces circonstances, il n’est donc pas utile de faire procéder à une nouvelle expertise. Le Dr F_________ n’a finalement retenu que le diagnostic de somatisation, auquel il a nié toute répercussion sur la capacité de travail. En l’absence d’une comorbidité psychiatrique d’une intensité et d’une durée suffisante au sens voulu par la jurisprudence constante, il convient de vérifier si les autres critères retenus par la jurisprudence sont réalisés en l’espèce, ce qui apparaît manifestement ne pas être le cas. S’il y a effectivement présence d’affections corporelles chroniques, sous la forme d’une hernie inguinale, force est de constater que celle-ci peut aisément se traiter de la manière préconisée par le Dr E_________. En conséquence, on ne saurait conclure à l’échec des traitements conformes aux règles de l’art. Quant à la perte d’intégration sociale dans toutes les manifestations de la vie, elle n’a pas été constatée par le Dr F_________.</w:t>
      </w:r>
    </w:p>
    <w:p>
      <w:r>
        <w:t>A/1715/2008 - 15/17 - En définitive, le Tribunal de céans se doit de confirmer l’appréciation faite par les organes de l’assurance-invalidité, à savoir l’absence de pathologie (somatique ou psychiatrique) invalidante.</w:t>
      </w:r>
    </w:p>
    <w:p>
      <w:r>
        <w:rPr>
          <w:b/>
        </w:rPr>
        <w:t>E. 8</w:t>
      </w:r>
    </w:p>
    <w:p>
      <w:r>
        <w:t>Il convient cependant encore de procéder au calcul du degré d'invalidité dont l’intimé n’aurait pas dû faire l’économie, dans la mesure où, sur le plan somatique, le Dr E_________ a conclu que, même après traitement adéquat de ses affections, le recourant devrait se limiter à une activité légère répondant à certaines limitations. a) Conformément à l'art. 28 al. 1 LAI, l'assuré a droit à un quart de rente s'il est invalide à 40% au moins, à une demi-rente s’il est invalide à 50%, à un trois-quart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A/1715/2008 - 16/17 -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le recourant a réalisé en 2003 un revenu de 31'776 fr. (cf. son extrait de compte individuel AVS). Il convient dès lors de comparer le revenu de 32'755 fr. 60 (soit le revenu qu’il aurait obtenu sans atteinte à sa santé en 2006, après réévaluation de son salaire, cf. données indiquées dans La Vie économique, tableau B10.3 n°12/2008 - p. 95), à celui qu’il aurait pu obtenir la même année en exerçant une activité légère, selon les données salariales statistiques ressortant de l’Enquête suisse sur la structure des salaires éditée par l’Office fédéral de la statistique (ESS). Au regard du large éventail d'activités simples et répétitives offertes par les secteurs de la production et des services, on doit convenir qu'un marché du travail équilibré offre un nombre significatif de postes de travail légers n'exigeant ni port de charges très lourdes, ni travail en inclinaison du buste et pouvant être occupés sans difficulté particulière par une personne atteinte d'une affection de l’épaule. Selon les données de l'ESS 2006, le revenu mensuel standardisé d'un homme exerçant une activité simple et répétitive s'élevait, tous domaines confondus, à 4’732 fr. par mois (valeur médiane). Ce salaire hypothétique doit être rectifié pour tenir compte du fait que les salaires bruts standardisés sont calculés sur la base d’un horaire de travail de 40 heures par semaine, soit une durée hebdomadaire inférieure à la moyenne usuelle dans les entreprises (41,7 heures; pour 1998 : La Vie économique, 4-2002 p. 86, tabelle B 9.2 pour 2001: cf. La Vie économique 12/2001 table B 9.2 p. 80). On obtient dès lors, pour un horaire de travail moyen de 41,7 heures (cf. ATF 126 V 81 consid. 7a), un salaire annuel brut, en 2006, de 59'197 fr. 30, qui comparé au revenu avant invalidité, démontre l’absence de perte de gain et, par conséquent, un degré d’invalidité de 0%.</w:t>
      </w:r>
    </w:p>
    <w:p>
      <w:r>
        <w:rPr>
          <w:b/>
        </w:rPr>
        <w:t>E. 9</w:t>
      </w:r>
    </w:p>
    <w:p>
      <w:r>
        <w:t>Il suit de ce qui précède que le recours est mal fondé, de sorte qu’il sera rejeté.</w:t>
      </w:r>
    </w:p>
    <w:p>
      <w:r>
        <w:t>A/1715/2008 - 17/17 -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