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ATAS/1251/2013 vom 12. Dezember 2013</w:t>
      </w:r>
    </w:p>
    <w:p>
      <w:r>
        <w:t>GE Cour de justice, 2013-12-12, FR</w:t>
      </w:r>
    </w:p>
    <w:p>
      <w:r>
        <w:rPr>
          <w:b/>
        </w:rPr>
        <w:t xml:space="preserve">Quelle: </w:t>
      </w:r>
      <w:r>
        <w:t>https://mcp.opencaselaw.ch/entscheid/ge_gerichte_ATAS_1251_2013</w:t>
      </w:r>
    </w:p>
    <w:p>
      <w:r>
        <w:t>FR: GE_GERICHTE ATAS/1251/2013 du 12 décembre 2013</w:t>
      </w:r>
    </w:p>
    <w:p>
      <w:r>
        <w:t>IT: GE_GERICHTE ATAS/1251/2013 del 12 dicembre 2013</w:t>
      </w:r>
    </w:p>
    <w:p>
      <w:pPr>
        <w:pStyle w:val="Heading2"/>
      </w:pPr>
      <w:r>
        <w:t>Erwägungen</w:t>
      </w:r>
    </w:p>
    <w:p>
      <w:r>
        <w:rPr>
          <w:b/>
        </w:rPr>
        <w:t>E. 1</w:t>
      </w:r>
    </w:p>
    <w:p>
      <w:r>
        <w:t>Conformément à l'art. 134 al. 1 let. a ch. 5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t>A/349/2013 - 5/11 -</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En application de l'art. 60 LPGA, le recours doit être déposé dans les trente jours suivant la notification de la décision sujette à recours. En vertu de l’art. 38 al. 4 let. c LPGA, les délais en jours ou en mois fixés par la loi ou par l’autorité ne courent pas du 18 décembre au 2 janvier inclusivement. Adressé par pli postal le 29 janvier 2013, le recours contre la décision de l'intimée du 18 décembre 2012 intervient en temps utile. Le recours est donc recevable, car interjeté au surplus en la forme prévue par la loi (art. 56ss LPGA).</w:t>
      </w:r>
    </w:p>
    <w:p>
      <w:r>
        <w:rPr>
          <w:b/>
        </w:rPr>
        <w:t>E. 4</w:t>
      </w:r>
    </w:p>
    <w:p>
      <w:r>
        <w:t>Le litige porte sur la question de savoir si l'événement du 18 novembre 2011 peut être qualifié d'accident ou être assimilé à un accident.</w:t>
      </w:r>
    </w:p>
    <w:p>
      <w:r>
        <w:rPr>
          <w:b/>
        </w:rPr>
        <w:t>E. 5</w:t>
      </w:r>
    </w:p>
    <w:p>
      <w:r>
        <w:t>a) Aux termes de l'art. 6 LAA, l'assureur-accidents verse des prestations à l'assuré en cas d'accident, professionnel ou non,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w:t>
      </w:r>
    </w:p>
    <w:p>
      <w:r>
        <w:t>A/349/2013 - 6/11 -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(ATF non publié 8C_693/2010 du 25 mars 2011, consid. 5.2).</w:t>
      </w:r>
    </w:p>
    <w:p>
      <w:r>
        <w:rPr>
          <w:b/>
        </w:rPr>
        <w:t>E. 6</w:t>
      </w:r>
    </w:p>
    <w:p>
      <w:r>
        <w:t>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 ATF non publié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w:t>
      </w:r>
    </w:p>
    <w:p>
      <w:r>
        <w:t>A/349/2013 - 7/11 -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non publié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(ATFA non publié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(ATF non publié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w:t>
      </w:r>
    </w:p>
    <w:p>
      <w:r>
        <w:t>A/349/2013 - 8/11 - effectués alors qu'on est lourdement chargé, ou encore le changement de position du corps de manière incontrôlée sous l'influence de phénomènes extérieurs (ATF 129 V 446 consid. 4.2.2; ATFA non publié U 315/03 du 23 novembre 2004, consid. 2.2). En outre, la cause extérieure peut être discrète et courante (ATF 116 V 145 consid. 2c ; ATFA non publié U 362/06 du 4 juillet 2007, consid. 3).</w:t>
      </w:r>
    </w:p>
    <w:p>
      <w:r>
        <w:rPr>
          <w:b/>
        </w:rPr>
        <w:t>E. 7</w:t>
      </w:r>
    </w:p>
    <w:p>
      <w:r>
        <w:t>a) Enfin, on rappellera que,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(ATFA non publié U 96/05 du 20 mai 2006, consid. 3.1; ATFA non publié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b)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w:t>
      </w:r>
    </w:p>
    <w:p>
      <w:r>
        <w:t>A/349/2013 - 9/11 -</w:t>
      </w:r>
    </w:p>
    <w:p>
      <w:r>
        <w:rPr>
          <w:b/>
        </w:rPr>
        <w:t>E. 8</w:t>
      </w:r>
    </w:p>
    <w:p>
      <w:r>
        <w:t>En l’espèce, il convient d’examiner si les circonstances du sinistre sont clairement établies. Contrairement à ce que soutient l’intimée, les premières déclarations de l’assuré ne résultent ni du formulaire de l’employeur annonçant le sinistre, ni du rapport des HUG - documents émanant de tiers et qui ne sauraient donc lier l’assuré - mais bien du courrier du 17 décembre 2011. Dans cette lettre, l’assuré a déclaré qu’il transportait une charge avec un collègue lorsque ce dernier, par manque d’équilibre, a relâché du poids, lui occasionnant ainsi une blessure à l’épaule. Les explications qu’il a fournies dans le questionnaire complémentaire du 11 janvier 2012, selon lesquelles il soulevait une palette avec des collègues lorsque l’un d’eux a glissé et laissé ainsi du poids, ne sont pas incompatibles avec son premier récit, mais constituent un complément à celui-ci. En effet, la nuance de vocabulaire entre un déséquilibre et une glissade ne saurait en aucun cas être considérée comme une contradiction, ce d’autant plus que l’assuré ne maîtrise pas la langue française. De même, la divergence portant sur le nombre de personnes avec lesquelles il était en train de porter une charge n’apparaît pas comme un antagonisme en tant que tel, l’assuré ayant toujours affirmé que sa blessure était due aux gestes d’une seule personne. Partant, il y a lieu de se référer aux déclarations de l’assuré selon lesquelles il transportait une charge avec un (voire deux) collègue lorsque, suite à un mouvement non coordonné d’un tiers qui a relâché du poids, il a ressenti une douleur à l’épaule gauche. De telles explications ne sont manifestement pas suffisantes pour trancher le litige. En effet, l’assuré n’a fourni aucun renseignement sur ses propres mouvements. Il n’a notamment pas précisé si le relâchement du poids de la charge par son collègue avait eu une quelconque influence sur sa mobilité corporelle, de sorte qu’il n’est pas possible de déterminer s’il a lui aussi effectué un mouvement non coordonné. En outre, à défaut de connaître le poids de la charge et le nombre de personnes qui la portait, il n’est pas possible d’apprécier l’effort fourni par l’assuré et juger s’il doit être considéré comme extraordinaire, compte tenu de sa constitution physique et de ses habitudes professionnelles. Dans ces conditions, l’intimée aurait dû demander des informations complémentaires à l’assuré et, au besoin, questionner son employeur ou recueillir les déclarations des deux témoins. Force est donc de constater que les circonstances exactes du sinistre ne sont pas connues et que les éléments du dossier ne permettent pas de se prononcer sur l’existence d’un facteur extérieur extraordinaire. Par ailleurs, les pièces médicales produites dans le cadre de la procédure ne permettent pas de déterminer si l’assuré a subi une lésion assimilée à un accident. En effet, aucun diagnostic n’a pu être posé avec certitude. Le rapport médical des HUG du 15 février 2012 fait état d’une « probable » déchirure musculaire du trapèze gauche. Quant au médecin d’arrondissement de l’intimée, il a remis en</w:t>
      </w:r>
    </w:p>
    <w:p>
      <w:r>
        <w:t>A/349/2013 - 10/11 - question ce diagnostic et suggéré un dysfonctionnement cervical, sans être en mesure de l’affirmer. La Cour de céans remarque en outre que le rapport des HUG est laconique et contient une erreur de date ainsi qu’une contradiction non justifiée avec la déclaration de sinistre, étant rappelé que l’employeur a relaté un craquement musculaire et non cervical. Quant à l’avis du médecin d’arrondissement de l’intimée - qui a lui-même reconnu qu’il était difficile de se prononcer sur la base du seul rapport des HUG -, il consiste en quelques lignes envoyées par courriel et ne comporte aucune motivation. Ses conclusions ne sont dès lors pas la convaincantes. Il s'ensuit que les pièces médicales qui figurent au dossier ne permettent pas de se déterminer sur l’existence d’une lésion assimilée à un accident et qu’il appartenait à l’intimée de mener des investigations supplémentaires. A cet égard, la Cour de céans observe que l’assuré a transmis à l’intimée plusieurs factures, dont deux du Centre d’Imagerie d’Onex, de sorte qu’il apparaît vraisemblable que des IRM ont été effectuées et qu’un diagnostic définitif a pu être posé. C’est le lieu de rappeler que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En l’espèce, vu l’état actuel du dossier, la Cour de céans n’est pas en mesure de statuer définitivement sur le cas. La cause sera donc renvoyée à l'intimée pour instruction complémentaire.</w:t>
      </w:r>
    </w:p>
    <w:p>
      <w:r>
        <w:rPr>
          <w:b/>
        </w:rPr>
        <w:t>E. 9</w:t>
      </w:r>
    </w:p>
    <w:p>
      <w:r>
        <w:t>Le recours est partiellement admis. La décision de l'intimée est annulée et la cause renvoyée pour instruction complémentaire et nouvelle décision. Pour le surplus, la procédure est gratuite (art. 61 let. a LPGA ; art. 89H LPA).</w:t>
      </w:r>
    </w:p>
    <w:p>
      <w:r>
        <w:t>A/349/2013 - 11/11 -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