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ATAS/1250/2020 vom 21. Dezember 2020</w:t>
      </w:r>
    </w:p>
    <w:p>
      <w:r>
        <w:t>GE Cour de justice, 2020-12-21, FR</w:t>
      </w:r>
    </w:p>
    <w:p>
      <w:r>
        <w:rPr>
          <w:b/>
        </w:rPr>
        <w:t xml:space="preserve">Quelle: </w:t>
      </w:r>
      <w:r>
        <w:t>https://mcp.opencaselaw.ch/entscheid/ge_gerichte_ATAS_1250_2020</w:t>
      </w:r>
    </w:p>
    <w:p>
      <w:r>
        <w:t>FR: GE_GERICHTE ATAS/1250/2020 du 21 décembre 2020</w:t>
      </w:r>
    </w:p>
    <w:p>
      <w:r>
        <w:t>IT: GE_GERICHTE ATAS/1250/2020 del 21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A/1270/2020 - 4/7 -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du refus de l’intimé de verser à la recourante l’indemnité en cas de RHT pour la période du 17 mars au 5 avril 2020.</w:t>
      </w:r>
    </w:p>
    <w:p>
      <w:r>
        <w:rPr>
          <w:b/>
        </w:rPr>
        <w:t>E. 4</w:t>
      </w:r>
    </w:p>
    <w:p>
      <w:r>
        <w:t>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 Pour lutter contre l’épidémie de coronavirus (ci-après : COVID-19), le Conseil fédéral a pris une série de mesures urgentes. Le 17 mars 2020, le Conseil fédéral a ordonné la fermeture des salons de coiffure (art. 6 al. 2 let. e de l’ordonnance 2 COVID-19). Le 20 mars 2020, le Conseil fédéral a adopté l’ordonnance COVID-19 assurance- 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une directive du 9 avril 2020, le SECO a précisé que pour les demandes déposées en retard, le 17 mars 2020 est considéré comme la date de réception, si</w:t>
      </w:r>
    </w:p>
    <w:p>
      <w:r>
        <w:t>A/1270/2020 - 5/7 -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w:t>
      </w:r>
    </w:p>
    <w:p>
      <w:r>
        <w:rPr>
          <w:b/>
        </w:rPr>
        <w:t>E. 5</w:t>
      </w:r>
    </w:p>
    <w:p>
      <w:r>
        <w:t>En l’espèce, la recourante gère notamment un salon de massages qui a dû fermer en exécution de l’art. 6 al. 2 let. e de l’ordonnance 2 COVID-19 du 17 mars 2020. Ce n’est toutefois que le 6 avril 2020 qu’elle a déposé un préavis de RHT en requérant une indemnité dès ce jour-là. Sur opposition, la recourante a fait valoir que la date de dépôt de la demande de RHT (tardive au 6 avril 2020) était imputable à sa fiduciaire qui avait indiqué dans le formulaire une date ne correspondant pas à la réalité de l'entreprise qui avait dû fermer dès le 17 mars 2020. Cet argument n’est cependant pas recevable, étant rappelé que, selon la jurisprudence du Tribunal fédéral, une partie répond de toute faute commise par ses auxiliaires, ceci afin d'éviter qu'elle ne soit tentée de leur imputer les négligences dont elle serait l'auteur (ATF 114 Ib 69ss consid. 2 et 3; André GRISEL, Traité de droit administratif, vol II, Neuchâtel 1984, p. 897; Alfred KÖLZ / Isabelle HÄNER, Verwaltungsverfahren und Verwaltungsrechtspflege des Bundes, Zürich 1993, p. 98 ch. 151) ; (voir notamment ATAS/1061/2020 du 5 novembre 2020).</w:t>
      </w:r>
    </w:p>
    <w:p>
      <w:r>
        <w:rPr>
          <w:b/>
        </w:rPr>
        <w:t>E. 6</w:t>
      </w:r>
    </w:p>
    <w:p>
      <w:r>
        <w:t>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6 avril 2020 à l’intimé, c’est à juste titre que ce dernier lui a octroyé l’indemnité en cas de RHT à compter de cette date seulement. On relèvera enfin que quand bien même la recourante avait l'obligation de fermer par décision de l'autorité, la question d'une éventuelle égalité dans l'illégalité ne se pose pas, en l'occurrence, dès lors que le préavis a été déposé après le 31 mars 2020.</w:t>
      </w:r>
    </w:p>
    <w:p>
      <w:r>
        <w:t>A/1270/2020 - 6/7 -</w:t>
      </w:r>
    </w:p>
    <w:p>
      <w:r>
        <w:rPr>
          <w:b/>
        </w:rPr>
        <w:t>E. 7</w:t>
      </w:r>
    </w:p>
    <w:p>
      <w:r>
        <w:t>Infondé, le recours doit être rejeté et la décision sur opposition confirmée.</w:t>
      </w:r>
    </w:p>
    <w:p>
      <w:r>
        <w:rPr>
          <w:b/>
        </w:rPr>
        <w:t>E. 8</w:t>
      </w:r>
    </w:p>
    <w:p>
      <w:r>
        <w:t>La procédure est gratuite.</w:t>
      </w:r>
    </w:p>
    <w:p>
      <w:r>
        <w:t>A/1270/2020 - 7/7 -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