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ATAS/1250/2010 vom 30. November 2010</w:t>
      </w:r>
    </w:p>
    <w:p>
      <w:r>
        <w:t>GE Cour de justice, 2010-11-30, FR</w:t>
      </w:r>
    </w:p>
    <w:p>
      <w:r>
        <w:rPr>
          <w:b/>
        </w:rPr>
        <w:t xml:space="preserve">Quelle: </w:t>
      </w:r>
      <w:r>
        <w:t>https://mcp.opencaselaw.ch/entscheid/ge_gerichte_ATAS_1250_2010</w:t>
      </w:r>
    </w:p>
    <w:p>
      <w:r>
        <w:t>FR: GE_GERICHTE ATAS/1250/2010 du 30 novembre 2010</w:t>
      </w:r>
    </w:p>
    <w:p>
      <w:r>
        <w:t>IT: GE_GERICHTE ATAS/1250/2010 del 30 novembre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et le juge des assurances sociales se fonde en principe, pour apprécier une cause, sur l'état de fait réalisé à la date déterminante de la décision litigieuse (ATF 130 V 230 consid. 1.1; 335 consid. 1.2; ATF 129 V 1 consid. 1; ATF 127 V 467 consid. 1, 126 V 136</w:t>
      </w:r>
    </w:p>
    <w:p>
      <w:r>
        <w:t>A/1799/2008 - 11/20 - consid. 4b et les références). Les règles de procédure quant à elles s'appliquent sans réserve dès le jour de son entrée en vigueur (ATF 117 V 93 consid. 6b, 112 V 360 consid. 4a; RAMA 1998 KV 37 p. 316 consid. 3b). En l'espèce, la décision litigieuse, du 21 avril 2008, est postérieure à l'entrée en vigueur de la LPGA ainsi qu’à l’entrée en vigueur, le 1er janvier 2004, des modifications de la LAI du 21 mars 2003 (4ème révision) et, le 1er janvier 2008, des modifications de la LAI du 6 octobre 2006 (5ème révision). Par conséquent, du point de vue matériel, le droit éventuel à des prestations d'invalidité doit être examiné au regard des nouvelles normes de la LPGA et des modifications de la LAI consécutives aux 4ème et 5ème révisions de cette loi, dans la mesure de leur pertinence (ATF 130 V 445 et les références; voir également ATF 130 V 329).</w:t>
      </w:r>
    </w:p>
    <w:p>
      <w:r>
        <w:rPr>
          <w:b/>
        </w:rPr>
        <w:t>E. 3</w:t>
      </w:r>
    </w:p>
    <w:p>
      <w:r>
        <w:t>Le recours interjeté respectant les forme et délai prévus par la loi (art. 56 à 60 LPGA), sera déclaré recevable.</w:t>
      </w:r>
    </w:p>
    <w:p>
      <w:r>
        <w:rPr>
          <w:b/>
        </w:rPr>
        <w:t>E. 4</w:t>
      </w:r>
    </w:p>
    <w:p>
      <w:r>
        <w:t>Le litige porte sur l’évaluation de l’invalidité du recourant et en particulier sur le degré d’invalidité présenté à compter du 1er janvier 2003, l’intimé ayant réduit, à compter de cette date, la rente entière - octroyée de septembre à décembre 2002 - à un quart de rente.</w:t>
      </w:r>
    </w:p>
    <w:p>
      <w:r>
        <w:rPr>
          <w:b/>
        </w:rPr>
        <w:t>E. 5</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b) L'obligation pour l'assuré de diminuer le dommage est un principe général du droit des assurances sociales (ATF 129 V 463 consid. 4.2, 123 V 233 consid. 3c, 117 V 278 consid. 2b, 400 et les références citées).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c)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w:t>
      </w:r>
    </w:p>
    <w:p>
      <w:r>
        <w:t>A/1799/2008 - 12/20 - est incapable de travailler. En outre, les données médicales constituent un élément utile pour déterminer quels travaux on peut encore, raisonnablement, exiger de l'assuré (ATF 125 V 261 consid. 4, 115 V 134 consid. 2, 114 V 314 consid. 3c, 105 V 158 consid. 1).</w:t>
      </w:r>
    </w:p>
    <w:p>
      <w:r>
        <w:rPr>
          <w:b/>
        </w:rPr>
        <w:t>E. 6</w:t>
      </w:r>
    </w:p>
    <w:p>
      <w:r>
        <w:t>a) En vertu de la maxime d'office, l'administration et le juge doivent veiller d'office à l'établissement exact et complet des faits pertinents. Sont pertinents tous les faits dont l'existence peut influencer d'une manière ou d'une autre le jugement relatif à la prétention. Dans ce contexte,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b)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c) Sans remettre en cause le principe de la libre appréciation des preuves, le Tribunal fédéral des assurances a posé des lignes directrices en ce qui concerne la manière d'apprécier certains types d'expertises ou de rapports médicaux. 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w:t>
      </w:r>
    </w:p>
    <w:p>
      <w:r>
        <w:t>A/1799/2008 - 13/20 - appréciation peuvent être considérés comme objectivement fondés. Etant donné l'importance conférée aux rapports médicaux dans le droit des assurances sociales, il y a lieu toutefois de poser des exigences sévères quant à l'impartialité de l'expert (ATF 125 V 353 ss consid. 3b/ee; ATFA non publié du 13 mars 2000, I 592/99, consid. b/ee).</w:t>
      </w:r>
    </w:p>
    <w:p>
      <w:r>
        <w:rPr>
          <w:b/>
        </w:rPr>
        <w:t>E. 7</w:t>
      </w:r>
    </w:p>
    <w:p>
      <w:r>
        <w:t>Il n’est pas contesté que le recourant présente une fracture de l’humérus proximal droit (septembre 2001) status après réduction sanglante et ostéo-suture, une périarthrite scapulo-humérale droite, des fractures multiples du bassin avec fractures des branches ilio et ischio-pubiennes des deux côtés (septembre 2001), une fracture complexe per et sous-trochantérienne du fémur droit (septembre 2001), un traumatisme des parties molles de la cuisse gauche (septembre 2001) et des troubles dégénératifs de la colonne lombaire inférieure (2000). Il n’est pas non plus contesté qu’en raison de ses atteintes, le recourant ne peut effectuer des travaux de force de manière répétitive avec le bras supérieur droit, porter ou soulever de lourdes charges et s’agenouiller plus d’une heure à une heure et demie (rapport du Dr N__________ du 23 novembre 2004). S’agissant de la capacité de travail, l’intimé a retenu une incapacité de travail totale de septembre 2001 à décembre 2002. A compter du 1er janvier 2003, la capacité de travail était totale dans une activité adaptée, mais nulle dans l’activité de maçon- carreleur. Le Tribunal de céans constate que, au vu des rapports médicaux versés à la procédure, l’on ne saurait suivre l’intimé en retenant une capacité nulle dans l’activité de maçon-carreleur. Le Dr N__________ a certes indiqué qu’une activité professionnelle en tant qu’ouvrier carreleur salarié paraissait impossible et non exigible, la capacité de travail résiduelle se situant certainement en dessous de 50%, ce qui concorde avec les conclusions du Dr L__________ (rapport des 18 décembre 2002 et 13 février 2004). Cela étant, le recourant n’est pas un ouvrier salarié, mais un carreleur indépendant, de sorte qu’il a la possibilité d’éviter les travaux lourds, répétitifs et impliquant une position accroupie ou agenouillée. Ainsi, comme l’a indiqué la Dresse M__________, il y a lieu de retenir une incapacité de travail de 50% puisque l’on peut exiger du recourant qu’il effectue les travaux de maçonnerie légers et respectant ses limitations fonctionnelles (rapport M__________, du 11 octobre 2007). Le recourant conteste par ailleurs l’incapacité de travail de 20% retenue par l’intimé dans l’activité des « livraisons-métrés » (livrer du matériel, visiter les chantiers, superviser le travail et faire les métrés). Le recourant fait valoir que dans la mesure où il s’agit de travaux manuels qui nécessitent des efforts physiques et des accroupissements, la capacité de travail n’est pas supérieure à 50%. Selon l’intimé, les métrés ne nécessitent pas la position accroupie.</w:t>
      </w:r>
    </w:p>
    <w:p>
      <w:r>
        <w:t>A/1799/2008 - 14/20 - La question de savoir si les métrés se font en position accroupie ou debout (au moyen d’un laser) peut rester ouverte. En effet, le recourant a expliqué par-devant le Tribunal de céans qu’il continuait à se charger de faire les métrés, lesquels prennent entre ½ heure et 1 heure (audience du 12 janvier 2010). Or, les limitations fonctionnelles dont souffre le recourant concernent la position accroupie prolongée au-delà d’une heure ou heure et demie. Il s’ensuit que les métrés effectués par le recourant respectent pleinement ses limitations fonctionnelles. L’incapacité de travail de 20% dans l’activité « livraisons-métrés » paraît ainsi justifiée compte du fait que le recourant peut tout faire (livrer du matériel, visiter les chantiers, superviser le travail et faire les métrés), excepté porter le matériel lourd. En conclusion, de septembre 2001 à décembre 2002, la capacité de travail du recourant était nulle. A compter du 1er janvier 2003, la capacité de travail dans une activité adaptée (évitant les travaux de force de manière répétitive avec le bras supérieur droit, le port ou le soulèvement de lourdes charges, la position accroupie plus d’une heure à une heure et demie) est totale, étant précisé qu’elle est de 50% dans l’activité de maçon-carreleur et de 80% dans l’activité « livraisons-métrés ».</w:t>
      </w:r>
    </w:p>
    <w:p>
      <w:r>
        <w:rPr>
          <w:b/>
        </w:rPr>
        <w:t>E. 8</w:t>
      </w:r>
    </w:p>
    <w:p>
      <w:r>
        <w:t>a) Au sujet de l'évaluation de l'invalidité on rappellera que, chez les assurés actifs, le degré d'invalidité doit être déterminé sur la base d'une comparaison des revenus.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b) Lorsqu'il n'est pas possible d'établir ou d'évaluer de manière fiable les deux revenus provenant d'une activité lucrative, il faut appliquer la méthode extraordinaire d'évaluation de l'invalidité (ATF 128 V 30 consid. 1). Selon cette méthode, on commence par déterminer, sur la base d'une comparaison des activités,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30 consid. 1, 104 V 136 consid. 2; VSI 1998 p. 122 consid. 1a et p. 257 consid. 2b). c) Selon la jurisprudence, la comparaison des résultats d'exploitation réalisés dans une entreprise artisanale avant et après la survenance de l'invalidité ne permet de</w:t>
      </w:r>
    </w:p>
    <w:p>
      <w:r>
        <w:t>A/1799/2008 - 15/20 -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artisanale dépendent souvent de nombreux paramètres difficiles à apprécier, tels que la situation conjoncturelle, la concurrence, l'aide ponctuelle de membres de la famille, des personnes intéressées dans l'entreprise ou des collaborateurs. Généralement, les documents comptables ne permettent pas, en pareils cas, de distinguer la part du revenu qu'il faut attribuer à ces facteurs (étrangers à l'invalidité) et celle qui revient à la propre prestation de travail de l'assuré (VSI 1998 p. 124 consid. 2c et p. 259 consid. 4a).</w:t>
      </w:r>
    </w:p>
    <w:p>
      <w:r>
        <w:rPr>
          <w:b/>
        </w:rPr>
        <w:t>E. 9</w:t>
      </w:r>
    </w:p>
    <w:p>
      <w:r>
        <w:t>a)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 28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(arrêts I 750/04 du 5 avril 2006 consid. 5.3, in SVR 2007 IV n° 1 p. 1; I 11/00 du 22 août 2001 consid. 5a/bb, in VSI 2001 p. 274). b) Ainsi doit-on pouvoir exiger de celui qui requiert des prestations qu'il prenne toutes les mesures qu'un homme raisonnable prendrait dans la même situation s'il ne pouvait attendre aucune indemnisation de tiers. Parmi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de façon définitive.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w:t>
      </w:r>
    </w:p>
    <w:p>
      <w:r>
        <w:t>A/1799/2008 - 16/20 - reclassement dans une profession entièrement nouvelle.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tout simplement déraisonnables ou abusives (ATF 113 V 22 consid. 4d p. 32; MARC HÜRZELER, Prävention im Haftpflicht- und Sozialversicherungsrecht, in Prävention im Recht, 2007, p. 172 sv.).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9C_580/2007 du 17 juin 2008 consid. 5.4).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(arrêt I 840/81 du 26 avril 1982, in RCC 1983 p. 246; voir également arrêt 8C_748/2008 du 10 juin 2009 consid. 4).</w:t>
      </w:r>
    </w:p>
    <w:p>
      <w:r>
        <w:rPr>
          <w:b/>
        </w:rPr>
        <w:t>E. 10</w:t>
      </w:r>
    </w:p>
    <w:p>
      <w:r>
        <w:t>En vertu de l’art. 28 al. 1 LAI (dans sa version antérieure au 1er janvier 2004), l’assuré a droit à une rente entière s’il est invalide à 66 2/3% au moins, à une demi- rente s’il est invalide à 50% au moins, ou à un quart de rente s’il est invalide à 40% au moins; dans les cas pénibles, l’assuré peut, d’après l’art. 28 al. 1bis LAI, prétendre à une demi-rente s’il est invalide à 40% au moins. Dès le 1er janvier 2004, l’assuré a droit à une rente entière s’il est invalide à 70% au moins, à un trois-quarts de rente s'il est invalide à 60% au moins, à une demi-rente s’il est invalide à 50% au moins, ou à un quart de rente s’il est invalide à 40% au moins. Selon la jurisprudence, une décision par laquelle l'assurance-invalidité accorde une rente d'invalidité avec effet rétroactif et, en même temps, prévoit la réduction ou l'augmentation de cette rente, correspond à une décision de révision au sens de l'art. 41 LAI (ATF 125 V 417 s. consid. 2d et les références; VSI 2001 p. 157 consid. 2). Aux termes de cette disposition (dans sa teneur en vigueur jusqu'au 31 décembre 2002), si l'invalidité d'un bénéficiaire de rente se modifie de manière à influencer le droit à la rente, celle-ci est, pour l'avenir, augmentée, réduite ou supprimée. Tout changement important des circonstances, propre à influencer le degré d'invalidité,</w:t>
      </w:r>
    </w:p>
    <w:p>
      <w:r>
        <w:t>A/1799/2008 - 17/20 - et donc le droit à la rente, peut motiver la révision de celle-ci (ATF 130 V 351 consid. 3.5.2, 125 V 369 consid. 2 et la référence; voir également ATF 112 V 372 consid. 2b et 390 consid. 1b). En cas d'allocation d'une rente dégressive ou temporaire, la date de la modification du droit (diminution ou suppression de la rente) doit être fixée conformément à l'art. 88a al. 1 RAI (ATF 125 V 417 consid. 2d; RCC 1984 p. 137). Selon cette disposition, dans sa teneur en vigueur jusqu'au 29 février 2004, si la capacité de gain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11</w:t>
      </w:r>
    </w:p>
    <w:p>
      <w:r>
        <w:t>a) Par décision litigieuse du 21 avril 2008, l’intimé a octroyé au recourant une rente entière de septembre à décembre 2002, puis un quart de rente. Dans la mesure où l’incapacité de travail a été totale de septembre 2001 à décembre 2002, le recourant a effectivement droit à une rente entière dès septembre 2002 (délai d’attente d’un an, art. 29 al. 1 let b. LAI). Cela étant, contrairement à ce que prévoit la décision litigieuse, le droit à la rente entière perdure jusqu’à mars 2003 (soit trois mois après l’amélioration de la capacité de gain). Il s’ensuit que c’est à tort que l’intimé a octroyé au recourant une rente entière jusqu’à décembre 2002. La décision litigieuse devra être annulée sur ce point. b) Pour la période à compter du 1er janvier 2003, l’intimé a utilisé la méthode extraordinaire d’évaluation de l’invalidité, en établissant les tâches que le recourant effectuait avant son invalidité (15% dans la direction, 10% dans les rendez-vous chantiers, métrés et livraisons de matériels et 75% dans les travaux manuels), puis en évaluant dans quelle mesure on pouvait exiger du recourant qu’il organisât son travail différemment (30% dans la direction, 25% dans les rendez-vous chantiers, métrés et livraisons de matériels et 45% dans les travaux manuels). Le recourant conteste la répartition des champs d’activités effectuée par l’intimé et soutient que dans son cas, elle doit s’établir comme suit : 15% direction, 10% dans les livraisons et les métrés et 75% dans les travaux manuels. Le Tribunal de céans constate préalablement que c’est à juste titre que l’intimé a utilisé la méthode extraordinaire d'évaluation de l'invalidité dès lors que les comptes de l'entreprise du recourant ne permettent pas de tirer des conclusions valables sur sa perte de gain. De surcroît, l’accident s’étant produit environ deux ans après le lancement de son activité indépendante, les revenus réalisés avant</w:t>
      </w:r>
    </w:p>
    <w:p>
      <w:r>
        <w:t>A/1799/2008 - 18/20 - l’atteinte à la santé ne permettent pas de fixer le revenue hypothétique sans invalidité dès lors que l’entreprise n’avait pas encore atteint son plein rendement. Au demeurant, le recourant ne conteste pas l’utilisation de la méthode extraordinaire. S’agissant de la pondération des champs d’activités, s’il apparaît certes justifié d’exiger du recourant qu'il réorganise son emploi du temps au sein de sa société en fonction de ses aptitudes résiduelles, on ne saurait suivre l’intimé lorsqu’il affirme que le recourant est en mesure de consacrer plus de temps à l’exercice d’activités adaptées (30% dans la direction, au lieu de 15%, et 25% dans les rendez-vous de chantiers, métrés et livraisons de matériel, au lieu de 10%), sans avoir nullement vérifié concrètement si, dès 2003, la quantité des tâches à effectuer dans ces champs d’activités permettait effectivement au recourant qu’il y consacre plus de temps. Qui plus est, au regard du témoignage de l’enquêtrice, on ne saurait accorder de valeur probante au rapport d’enquête économique établi le 17 août 2005. En effet, il apparaît que l’enquêtrice s’est surtout fondée sur la situation professionnelle de son mari pour déterminer ce qu’il devait en être dans l’entreprise du recourant. Elle a ainsi expliqué que dans la mesure où les employés de son mari se chargent également des rendez-vous de chantiers, des métrés et des livraisons de matériel, elle avait estimé que les heures consacrées par l'employé du recourant à ces tâches pouvaient être reportées sur le recourant après l'accident. Elle en avait déduit que le recourant pouvait augmenter la part de son temps consacrée à cette activité de 10 % à 25 %. Or, le recourant a indiqué qu’avant son accident, il était en charge de tous les rendez-vous de chantiers, des métrés et des livraisons de matériel (audience du</w:t>
      </w:r>
    </w:p>
    <w:p>
      <w:r>
        <w:rPr>
          <w:b/>
        </w:rPr>
        <w:t>E. 12</w:t>
      </w:r>
    </w:p>
    <w:p>
      <w:r>
        <w:t>Au bénéfice des explications qui précèdent, le Tribunal de céans admettra partiellement le recours en ce sens que le recourant a droit à une rente entière de septembre 2002 à mars 2003, la cause étant renvoyée pour instruction complémentaire pour la période postérieure. Le recourant, qui obtient partiellement gain de cause, a droit à une indemnité à titre de participation à ses frais et dépens, que le Tribunal limite en l'espèce à 2’000 fr. (art. 61 let. g LPGA ; art. 89H al. 3 LPA). L'intimé sera par ailleurs condamné à un émolument de 500 fr. (art. 69 al. 1 bis LAI).</w:t>
      </w:r>
    </w:p>
    <w:p>
      <w:r>
        <w:t>A/1799/2008 - 20/20 -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