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ATAS/124/2016 vom 16. Februar 2016</w:t>
      </w:r>
    </w:p>
    <w:p>
      <w:r>
        <w:t>GE Cour de justice, 2016-02-16, FR</w:t>
      </w:r>
    </w:p>
    <w:p>
      <w:r>
        <w:rPr>
          <w:b/>
        </w:rPr>
        <w:t xml:space="preserve">Quelle: </w:t>
      </w:r>
      <w:r>
        <w:t>https://mcp.opencaselaw.ch/entscheid/ge_gerichte_ATAS_124_2016</w:t>
      </w:r>
    </w:p>
    <w:p>
      <w:r>
        <w:t>FR: GE_GERICHTE ATAS/124/2016 du 16 février 2016</w:t>
      </w:r>
    </w:p>
    <w:p>
      <w:r>
        <w:t>IT: GE_GERICHTE ATAS/124/2016 del 16 febbraio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A/3786/2015 4/7</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En l'espèce, la Fondation de prévoyance Stephan a indiqué la prestation de sortie du demandeur comprenant les intérêts réglementaires jusqu’au jour du mariage, et non au jour du divorce, soit au 15 septembre 2015. La chambre de céans doit par conséquent procéder au calcul des intérêts sur la somme de CHF 29'032.- du 24 octobre 2009 au 15 septembre 2015. Par conséquent, les intérêts dus au demandeur sur la somme de CHF 29'032.- existant au 24 octobre 2009 se montent à CHF 3'140.65.</w:t>
      </w:r>
    </w:p>
    <w:p>
      <w:r>
        <w:rPr>
          <w:b/>
        </w:rPr>
        <w:t>E. 4</w:t>
      </w:r>
    </w:p>
    <w:p>
      <w:r>
        <w:t>En l’espèce, le juge de première instance a ordonné le partage par moitié des prestations de sortie acquises durant le mariage par les demandeurs. Les dates pertinentes sont, d’une part, celle du mariage, le 24 octobre 2009, d’autre part, le 15 septembre 2015, date à laquelle le jugement de divorce est devenu exécutoire.</w:t>
      </w:r>
    </w:p>
    <w:p>
      <w:r>
        <w:rPr>
          <w:b/>
        </w:rPr>
        <w:t>E. 5</w:t>
      </w:r>
    </w:p>
    <w:p>
      <w:r>
        <w:t>Selon les documents produits, les avoirs LPP du demandeur accumulés jusqu’au 15 septembre 2015 s'élèvent à CHF 86'882.20. De ce montant, il convient de déduire la prestation acquise par le demandeur au jour du mariage, soit CHF 32'172.65 (29'032 + 3'140.65), intérêts au jour du divorce compris. La prestation de libre passage à partager du demandeur est ainsi de CHF 54'709.55 (86'882.20 - 32'172.65). La demanderesse n’a en revanche pas acquis d’avoir LPP durant le mariage. Elle n’a ainsi pas de prestation de libre passage à partager la concernant. Ainsi le demandeur doit à son ex-épouse le montant de CHF 27'354.80 (CHF 54'709.55 : 2).</w:t>
      </w:r>
    </w:p>
    <w:p>
      <w:r>
        <w:rPr>
          <w:b/>
        </w:rPr>
        <w:t>E. 6</w:t>
      </w:r>
    </w:p>
    <w:p>
      <w:r>
        <w:t>Le demandeur requiert la compensation de la prestation de sortie LPP due à son ex- épouse avec la créance qu’il possède envers elle. À cet égard, le Tribunal fédéral a jugé que selon la doctrine et la jurisprudence, la compensation de créances réciproques constitue un principe juridique général, ancré en droit privé aux art. 120 ss CO, qui trouve application en droit administratif. En droit des assurances sociales plus particulièrement, le principe est reconnu, même dans les branches de ce droit qui ne le prévoient pas expressément; au demeurant, la plupart des lois d'assurances sociales connaissent une réglementation spécifique (ATF 128 V 228 consid. 3b et les références; Blaise KNAPP, Précis de droit administratif, Bâle 1991, n° 738, p. 162). Dans le domaine de la prévoyance professionnelle, la question particulière de la compensation de</w:t>
      </w:r>
    </w:p>
    <w:p>
      <w:r>
        <w:t>A/3786/2015 5/7 créances est réglée dans la loi de manière restrictive. Selon l'art. 39 al. 2 LPP, le droit aux prestations ne peut être compensé avec des créances cédées par l'employeur à l'institution de prévoyance que si ces créances ont pour objet des cotisations non déduites du salaire. Cette interdiction quasi générale de compenser ne vaut pas lorsque les prétentions en matière de prévoyance professionnelle sont échues, pour autant qu'il n'en résulte pas une atteinte au minimum vital de l'intéressé (cf. Hans-Ulrich STAUFFER, Berufliche Vorsorge, Zurich 2005, n° 923 et 924, p. 344). Dans les cas où la compensation est admise, les dispositions du code des obligations qui en fixent les conditions sont applicables par analogie (art. 120 ss CO; VSI 1994 p. 217 consid. 3). Le Tribunal fédéral des assurances a déjà eu l'occasion de se prononcer sur le problème de la compensation des prestations de sortie découlant de l'art. 122 CC avec des créances appartenant à l'un des conjoints en vertu du jugement de divorce. Dans un arrêt K. du 14 mai 2002 (B 18/01, publié in FamPra.ch 2002 p. 568), il a exposé que selon l'art. 22 al. 1 LFLP, les art. 3 à 5 de la loi sont applicables par analogie au transfert des prestations de sortie acquises durant le mariage. Celles-ci doivent être soit transférées à l'institution de prévoyance de l'époux bénéficiaire (art. 3), soit maintenues dans la prévoyance sous une autre forme (art. 4), dans la mesure où les conditions du paiement en espèce ne sont pas données (art. 5). Le capital de prévoyance et le droit aux prestations non exigibles ne sauraient être ni cédés ni mis en gage (art. 17 OLP). Les dispositions précitées expriment le principe fondamental du maintien de la prévoyance; elles interdisent la compensation de créances d'un conjoint avec la prestation de sortie dont l'autre conjoint bénéficie. Le droit au partage des avoirs de prévoyance professionnelle tend à compenser les pertes en matière de prévoyance résultant du partage des tâches durant le mariage et à promouvoir l'indépendance économique des deux conjoints après le divorce. Ce droit ne saurait dépendre ni des régimes matrimoniaux et de leur liquidation, ni de la solution adoptée en matière d'entretien après le divorce (Message, FF 1996 I 102). Il ne saurait en aller différemment lorsqu'une indemnité équitable est accordée après la survenance d'un cas de prévoyance ou en cas d'impossibilité du partage, à défaut de quoi le but de la réglementation ne serait plus réalisé. Il s'ensuit qu'il n'est pas possible de compenser les prestations de sortie découlant de l'art. 122 CC ou l'indemnité équitable due à l'un des époux au titre de l'art. 124 CC avec des créances compensatoires invoquées dans le cadre d'une procédure de divorce (ATF B 131/2004 du 23 février 2006). Force est de constater, au vu de ce qui précède, que la compensation ne saurait être admise.</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A/3786/2015 6/7</w:t>
      </w:r>
    </w:p>
    <w:p>
      <w:r>
        <w:rPr>
          <w:b/>
        </w:rPr>
        <w:t>E. 8</w:t>
      </w:r>
    </w:p>
    <w:p>
      <w:r>
        <w:t>Aucun émolument ne sera perçu, la procédure étant gratuite (art. 73 al. 2 LPP et 89H al. 1 de la loi sur la procédure administrative du 12 septembre 1985). ***</w:t>
      </w:r>
    </w:p>
    <w:p>
      <w:r>
        <w:t>A/3786/2015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