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ATAS/124/2008 vom 30. Januar 2008</w:t>
      </w:r>
    </w:p>
    <w:p>
      <w:r>
        <w:t>GE Cour de justice, 2008-01-30, FR</w:t>
      </w:r>
    </w:p>
    <w:p>
      <w:r>
        <w:rPr>
          <w:b/>
        </w:rPr>
        <w:t xml:space="preserve">Quelle: </w:t>
      </w:r>
      <w:r>
        <w:t>https://mcp.opencaselaw.ch/entscheid/ge_gerichte_ATAS_124_2008</w:t>
      </w:r>
    </w:p>
    <w:p>
      <w:r>
        <w:t>FR: GE_GERICHTE ATAS/124/2008 du 30 janvier 2008</w:t>
      </w:r>
    </w:p>
    <w:p>
      <w:r>
        <w:t>IT: GE_GERICHTE ATAS/124/2008 del 30 gennaio 2008</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La demande des demanderesses respecte les conditions de forme prescrites par les art. 64 al. 1 et 65 de la loi sur la procédure administrative du 12 septembre 1985 (LPA), lesquels s’appliquent par analogie.</w:t>
      </w:r>
    </w:p>
    <w:p>
      <w:r>
        <w:t>A/2795/2006 - 11/18 - Leur demande est dès lors recevable.</w:t>
      </w:r>
    </w:p>
    <w:p>
      <w:r>
        <w:rPr>
          <w:b/>
        </w:rPr>
        <w:t>E. 3</w:t>
      </w:r>
    </w:p>
    <w:p>
      <w:r>
        <w:t>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b) En l'espèce, les statistiques de Santésuisse concernant l'année 2004 ont été portées à la connaissance des demanderesses au plus tôt le 28 juillet 2005, date qui correspond à celle de la préparation des données figurant sur ces statistiques. Dans la mesure où la demande a été déposée le 28 juillet 2006, il sied de constater que celle-ci respecte le délai légal d'une année.</w:t>
      </w:r>
    </w:p>
    <w:p>
      <w:r>
        <w:rPr>
          <w:b/>
        </w:rPr>
        <w:t>E. 4</w:t>
      </w:r>
    </w:p>
    <w:p>
      <w:r>
        <w:t>L'objet du litige est la question de savoir si la pratique du défendeur en 2004 respecte le principe de l'économicité.</w:t>
      </w:r>
    </w:p>
    <w:p>
      <w:r>
        <w:rPr>
          <w:b/>
        </w:rPr>
        <w:t>E. 5</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6</w:t>
      </w:r>
    </w:p>
    <w:p>
      <w:r>
        <w:t>Selon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w:t>
      </w:r>
    </w:p>
    <w:p>
      <w:r>
        <w:t>A/2795/2006 - 12/18 -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rPr>
          <w:b/>
        </w:rPr>
        <w:t>E. 7</w:t>
      </w:r>
    </w:p>
    <w:p>
      <w:r>
        <w:t>En l’espèce, les demanderesses ont indiqué dans leur demande que l’assurance- maladie CONCORDIA avait également remboursé des traitements pour des patients du défendeur, alors même que cette caisse n'est pas partie à la présente procédure. Selon le courrier du 16 avril 2007 de cette caisse, il s’agit de seize personnes. Par conséquent, il convient de déduire le cas échéant des prétentions des demanderesses le montant correspondant aux prestations du défendeur remboursées par la caisse-maladie Concordia. Le défendeur n'a par ailleurs pas contesté que les demanderesses ont remboursé des factures qu'il a adressées à ces patients en 2004. Partant, le Tribunal de céans admettra leur qualité pour agir.</w:t>
      </w:r>
    </w:p>
    <w:p>
      <w:r>
        <w:rPr>
          <w:b/>
        </w:rPr>
        <w:t>E. 8</w:t>
      </w:r>
    </w:p>
    <w:p>
      <w:r>
        <w:t>a) Pour établir l’existence d’une polypragmasie, le Tribunal fédéral des assurances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ATF 98 V 198).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w:t>
      </w:r>
    </w:p>
    <w:p>
      <w:r>
        <w:t>A/2795/2006 - 13/18 - pas vider la méthode statistique de son sens et doit se situer entre les indices de 120 et de 130 (consid. 6.1 non publié de l’ATF 130 V 377). c) Selon la jurisprudence récente du Tribunal fédéral des assurances,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w:t>
      </w:r>
    </w:p>
    <w:p>
      <w:r>
        <w:rPr>
          <w:b/>
        </w:rPr>
        <w:t>E. 9</w:t>
      </w:r>
    </w:p>
    <w:p>
      <w:r>
        <w:t>En l’occurrence, le défendeur conteste l’utilisation des statistiques de Santésuisse en ce qui le concerne. En premier lieu, il met en cause leur fiabilité. La valeur probante des statistiques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Il convient par ailleurs de considérer que les explications des demanderesses concernant le nombre différent des médecins de la catégorie déterminante en 2003 et 2004 sont satisfaisantes. Le nombre de 184 médecins du groupe de comparaison du défendeur est également largement suffisant pour constituer un échantillonnage valable. Quant au fait que les chiffres de ces statistiques ne coïncideraient in casu pas avec les chiffres réels du cabinet du défendeur pour les années 2004 et 2005, s'agissant du chiffre d’affaires et du nombre de ses patients, il est a relever que cette différence de chiffres ne constitue pas un indice pour une erreur dans les statistiques, dès lors que celles-ci ne sont pas établies sur la base du chiffre d’affaires du cabinet de l’année en cause, ni du nombre des patients qui ont consulté le médecin, mais sur la base des factures remboursées par les assurances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soient inférieurs aux chiffres</w:t>
      </w:r>
    </w:p>
    <w:p>
      <w:r>
        <w:t>A/2795/2006 - 14/18 - ressortant de la comptabilité du cabinet, dans la mesure où certaines factures ne parviennent pas à l’assurance, notamment lorsque leur montant est inférieur à la franchise contractée. A cet égard, il n'est pas établi que des assurés plus modestes contracteraient des franchises moins élevées, comme le fait valoir le défendeur, ni que, dans cette hypothèse, le coût par malade se trouverait majoré. Au contraire, le coût par malade est en principe plus élevé, lorsque seules sont prises en considération les notes d'honoraires importantes et qu'un certain nombre de factures modestes ne sont jamais communiquées à l'assureur-maladie. Le défendeur allègue également que l'année 2004 est éventuellement une mauvaise année de comparaison en raison de l'introduction du TARMED et du retard de facturation en résultant. Toutefois, il ressort des statistiques RSS que le défendeur présente déjà depuis 2000 des indices des coûts directs et indirects par malade trop élevés. En 2001, l'indice des coûts totaux était de 156, en 2002 de 158 et en 2003 de 145. Il appert ainsi que l'indice de 148 des coûts directs et indirects afférents à l'année 2004 est du même ordre de celui des années précédentes et ne saurait donc pas être considéré comme exceptionnel. L'on pourrait également relever que, si l'année 2004 correspond effectivement à l'entrée en vigueur de TARMED, les aléas liés à cette introduction touchent également tous les autres confrères composant l'échantillon de comparaison. Néanmoins, l'écart demeure le même. Le défendeur ne saurait non plus tirer un argument des statistiques CTESIAS, celles-ci ayant été établies, d’une part, uniquement pour 2006 en ce qui concerne le défendeur, alors que la présente procédure concerne l’année 2004, et d'autre part prennent en considération un nombre de médecins moins élevé que les statistiques de Santésuisse. Il paraît en outre impossible d’enregistrer un assuré sous le nom d’un autre, même en cas de patronyme homonyme, comme on le rencontre fréquemment chez les portugais, étant donné que, pour chaque patient et assuré, est mentionnée la date de naissance, ainsi que son numéro d’assurance. Le défendeur ne fait par ailleurs valoir aucun argument qui s'opposerait à sa comparaison aux médecins de la catégorie "00" établie par Santésuisse, soit aux spécialistes en médecine générale. Il n'indique notamment pas à quelle autre catégorie il aurait dû être comparé. En ce qui concerne le fait qu'un pourcentage élevé de ses patients est étranger et les formations complémentaires du défendeur, ces éléments sont à prendre en considération dans l'examen des particularités de son cabinet (ATFA non publié du</w:t>
      </w:r>
    </w:p>
    <w:p>
      <w:r>
        <w:rPr>
          <w:b/>
        </w:rPr>
        <w:t>E. 14</w:t>
      </w:r>
    </w:p>
    <w:p>
      <w:r>
        <w:t>juillet 2003, K 113/03, consid. 5.5). Partant, rien ne s’oppose en principe à l'utilisation des statistiques RSS dans le cas présent.</w:t>
      </w:r>
    </w:p>
    <w:p>
      <w:r>
        <w:t>A/2795/2006 - 15/18 - 10. Se pose cependant la question de savoir si des particularités dans la pratique du défendeur justifient un coût moyen plus élevé. a)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b) Le défendeur fait valoir que sa clientèle est composée à 95 % de portugais. Sur la base de la liste des patients transmise, il convient d'admettre que cela est exact. Toutefois, il résulte également des statistiques de Santésuisse que la moyenne d’âge de ses patients est peu élevée, dans la mesure où elle se situe à 43,6 années, alors que la moyenne d'âge des patients des médecins de sa spécialité est de 49,16. A cela s'ajoute que, alors même que le chiffre d'affaires et le nombre de patients sont resté stables entre 2004 et 2006, selon les propres allégations du défendeur, son indice des coûts directs pour 2005 était de 126 et pour 2006 de 120, ce qui démontre que les particularités du cabinet alléguées par le défendeur n'entraînent pas nécessairement des coûts plus élevés. Le défendeur conteste à cet égard avoir modifié sa pratique en 2005 et fait valoir avoir été informé des critiques relatives à l'année 2004 seulement en février 2006, soit à la fin de l'exercice 2005. Cependant, il avait déjà fait l'objet d'une interpellation au sujet de sa pratique en 2002 et 2003 et savait donc bien avant 2005 qu'il fallait le cas échéant la modifier. Quant aux maladies traitées, le défendeur allègue soigner beaucoup de patients pour des pathologies musculaires, des fibromyalgies et des dépressions. Cependant, ces seules pathologies ne sauraient justifier l’application d’un indice supérieur à 130 %, celui-ci tenant déjà compte de la différence de la pratique d’un cabinet à l’autre. En ce qui concerne la différence de formation du défendeur par rapport à ses confrères généralistes (lecture de l’électrocardiogramme et mesure de la pression artérielle sur 24 heures), il convient de relever que le groupe des généralistes comprend en principe aussi des praticiens qui ont bénéficié d’une formation spécifique dans un domaine médical particulier et traitent de ce fait une catégorie de patients nécessitant des mesures diagnostiques et thérapeutiques s’écartant de celles prodiguées en règle générale par un médecin généraliste (ATFA non publié du 2 décembre 2005, cause K 148/04, consid. 5.2). Ainsi, le recourant ne saurait rien déduire en sa faveur de la différence de formation acquise.</w:t>
      </w:r>
    </w:p>
    <w:p>
      <w:r>
        <w:t>A/2795/2006 - 16/18 - Quant au laboratoire, le recourant n’est pas le seul généraliste à en disposer. En tout état de cause, il en sera tenu compte dans les coûts indirects, conformément à la récente jurisprudence du Tribunal fédéral précitée. Au vu de ce qui précède, le Tribunal de céans estime qu’il n’y pas lieu de s’écarter de la marge de tolérance appliquée de 30 %. 11. Au vu de ce qui précède, il y a lieu de considérer que les statistiques RSS, ainsi que les autres données relatives aux caractéristiques du cabinet du défendeur sont suffisantes pour examiner l'économicité de sa pratique. Par conséquent, de l'avis du Tribunal de céans, il n'est en l'occurrence pas nécessaire d'ordonner une expertise concernant cette question. Le défendeur a également conclu à ce que Santésuisse soit invitée à produire la liste nominative des médecins de sa catégorie de comparaison et à préciser le nombre de leurs patients et leurs chiffres d'affaires, ainsi que s'ils disposaient d'un laboratoire et quel type d'examens complémentaires ils fournissaient. Toutefois, au vu de la jurisprudence précitée, ainsi que de la prise en considération des coûts indirects dans l'examen de l'économicité, ces informations ne paraissent in casu pas indispensables pour l'appréciation de la cause. Le défendeur sera par conséquent débouté de ses conclusions dans ce sens. 12. Il résulte en l’espèce des statistiques RSS relatives à l’année 2004 que le total des coûts directs et indirects par malade du défendeur était de 1'764 fr. 74, ce qui représente un indice de 148 % par rapport à la moyenne de 100. Comme relevé ci- dessus, c’est cet indice qu’il convient de prendre en considération pour la détermination des sommes facturées en trop en violation du respect du principe de l’économicité. Cela étant, le coût par malade du défendeur doit être établi à 148 % de la moyenne des coûts directs par malade du groupe de comparaison, laquelle est de 458 fr. 80 fr. Le calcul de la polypragmasie s’établit ainsi de la façon suivante : Moyenne des coûts par malade du groupe</w:t>
      </w:r>
    </w:p>
    <w:p>
      <w:r>
        <w:t>de comparaison (indice 100)</w:t>
      </w:r>
    </w:p>
    <w:p>
      <w:r>
        <w:t>458 fr. 80 Coût par malade du défendeur (indice 148)</w:t>
      </w:r>
    </w:p>
    <w:p>
      <w:r>
        <w:t>679 fr. Nombre de malades du défendeur: 755 Facturation par rapport au coût moyen : 755 x 458 fr. 80</w:t>
      </w:r>
    </w:p>
    <w:p>
      <w:r>
        <w:t>346'394 fr 30 % pour prendre en compte les spécificités du cabinet</w:t>
      </w:r>
    </w:p>
    <w:p>
      <w:r>
        <w:t>103'918 fr. 20 Total admis</w:t>
      </w:r>
    </w:p>
    <w:p>
      <w:r>
        <w:t>450'312 fr. 20</w:t>
      </w:r>
    </w:p>
    <w:p>
      <w:r>
        <w:t>A/2795/2006 - 17/18 - Chiffre d’affaires du défendeur sur la base d’un indice de 148</w:t>
      </w:r>
    </w:p>
    <w:p>
      <w:r>
        <w:t>(755 x 679 fr)</w:t>
      </w:r>
    </w:p>
    <w:p>
      <w:r>
        <w:t>512'645 fr. Différence</w:t>
      </w:r>
    </w:p>
    <w:p>
      <w:r>
        <w:t>62'332 fr. 80</w:t>
      </w:r>
    </w:p>
    <w:p>
      <w:r>
        <w:t>De ce chiffre, il convient cependant de déduire le surcoût afférent aux assurés de la CONCORDIA qui ne fait pas partie des demanderesses, alors même que certains patients du défendeur étaient assurés auprès de cette assurance. Selon le courrier du</w:t>
      </w:r>
    </w:p>
    <w:p>
      <w:r>
        <w:rPr>
          <w:b/>
        </w:rPr>
        <w:t>E. 16</w:t>
      </w:r>
    </w:p>
    <w:p>
      <w:r>
        <w:t>avril 2007 de cette dernière, il s’agit de 16 personnes. Ainsi, la part concernant ces assurés est de 1'321 fr. (62'332 fr. 80 fr. : 755 x 16). Par conséquent, la somme facturée indûment s’élève à 61'011 fr. en chiffres ronds (62'332 fr. 80 - 1'321). 13. Cela étant, la demande sera partiellement admise. 14. L'émolument de 4'000 fr. sera mis à la charge des demanderesses, prises conjointement, à concurrence de 500 fr. et à la charge du défendeur à concurrence de 3'500 fr. 15. Le défendeur qui succombe partiellement sera également condamné à verser aux demanderesses, prises conjointement , une indemnité de 3'000 fr. à titre de dépens.</w:t>
      </w:r>
    </w:p>
    <w:p>
      <w:r>
        <w:t>A/2795/2006 - 18/18 -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