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ATAS/1249/2013 vom 12. Dezember 2013</w:t>
      </w:r>
    </w:p>
    <w:p>
      <w:r>
        <w:t>GE Cour de justice, 2013-12-12, FR</w:t>
      </w:r>
    </w:p>
    <w:p>
      <w:r>
        <w:rPr>
          <w:b/>
        </w:rPr>
        <w:t xml:space="preserve">Quelle: </w:t>
      </w:r>
      <w:r>
        <w:t>https://mcp.opencaselaw.ch/entscheid/ge_gerichte_ATAS_1249_2013</w:t>
      </w:r>
    </w:p>
    <w:p>
      <w:r>
        <w:t>FR: GE_GERICHTE ATAS/1249/2013 du 12 décembre 2013</w:t>
      </w:r>
    </w:p>
    <w:p>
      <w:r>
        <w:t>IT: GE_GERICHTE ATAS/1249/2013 del 12 dicembre 2013</w:t>
      </w:r>
    </w:p>
    <w:p>
      <w:pPr>
        <w:pStyle w:val="Heading2"/>
      </w:pPr>
      <w:r>
        <w:t>Erwägungen</w:t>
      </w:r>
    </w:p>
    <w:p>
      <w:r>
        <w:rPr>
          <w:b/>
        </w:rPr>
        <w:t>E. 10</w:t>
      </w:r>
    </w:p>
    <w:p>
      <w:r>
        <w:t>Dans le délai légal, l’assurée s’est opposée à cette décision en alléguant d’une part qu’avant l’accident, l’état de son rachis s’était amélioré au point qu’une reprise de son activité professionnelle était prévue et, d’autre part, que des douleurs se faisaient encore sentir au niveau de la vertèbre D12. Par ailleurs, elle a contesté le taux de l’IPAI, l’estimant insuffisant.</w:t>
      </w:r>
    </w:p>
    <w:p>
      <w:r>
        <w:rPr>
          <w:b/>
        </w:rPr>
        <w:t>E. 11</w:t>
      </w:r>
    </w:p>
    <w:p>
      <w:r>
        <w:t>Par décision du 29 mai 2012, la SUVA a confirmé celle du 21 mars 2012. La SUVA s’est référée aux avis du Dr G__________, son médecin d’arrondissement, qui, le 16 mars 2011, a considéré que l’accident avait déstabilisé un état antérieur maladif de manière passagère, et du Dr I__________, spécialiste FMH en chirurgie auprès de la Division de médecine des assurances, qui a pour sa part relevé que la fracture-tassement de la vertèbre D12 constituait la seule suite de l’accident, le status après spondylodèse L3-S1 étant quant à lui constitutif d’un état antérieur maladif devant être formellement distingué de l’atteinte accidentelle. La SUVA a relevé qu’une ostéoporose diffuse avait été clairement mise en exergue par un examen tomoscintigraphique (SPECT) pratiqué le 16 novembre 2011. Qui plus est, cette ostéoporose au niveau du rachis lombaire avait également été signalée par le Dr A__________, spécialiste FMH en chirurgie orthopédique. En conséquence, la SUVA, suivant en cela l’avis du Dr I__________, a considéré que l’état de santé de l’assurée ne pouvait désormais plus être sensiblement amélioré par la poursuite du traitement médical de l’atteinte de la vertèbre D12 et que l’exercice de l’activité de secrétaire n’était nullement entravé par les séquelles à ce niveau. Quant à la quotité de l’IPAI, la SUVA s’est également référée à l’avis du Dr I__________ qui, se fondant sur les données fournies dans la table de calcul 7 (atteinte à l’intégrité dans les affections de la colonne vertébrale), a estimé à 5% le dommage permanent induit par la fracture-tassement de la vertèbre D12. A cet égard, le médecin a noté que la cunéiformisation vertébrale était inférieure à 20°, que le canal médullaire n’était pas concerné et que les troubles résiduels étaient</w:t>
      </w:r>
    </w:p>
    <w:p>
      <w:r>
        <w:t>A/1848/2012 - 7/16 - discrets. Sur ce point, la SUVA a relevé que l’assurée n’apportait aucun élément propre à mettre en cause l’appréciation du Dr I__________.</w:t>
      </w:r>
    </w:p>
    <w:p>
      <w:r>
        <w:rPr>
          <w:b/>
        </w:rPr>
        <w:t>E. 12</w:t>
      </w:r>
    </w:p>
    <w:p>
      <w:r>
        <w:t>Par courrier du 9 juin 2012 - adressé à la SUVA et transmis par cette dernière à la Cour de céans comme objet de sa compétence le 15 juin 2012 -, l’assurée a contesté cette décision, en particulier le pourcentage de l’IPAI. L’assurée a expliqué avoir passé différents examens, au nombre desquels une minéralométrie dont elle allègue qu’elle a confirmé qu’elle n’avait pas d’ostéoporose et que « bien au contraire, ses os étaient splendides ».</w:t>
      </w:r>
    </w:p>
    <w:p>
      <w:r>
        <w:rPr>
          <w:b/>
        </w:rPr>
        <w:t>E. 13</w:t>
      </w:r>
    </w:p>
    <w:p>
      <w:r>
        <w:t>Invitée à se déterminer, l’intimée, dans sa réponse du 13 juillet 2012, a conclu au rejet du recours. En substance, l’intimée se réfère une nouvelle fois à l’avis du Dr I__________.</w:t>
      </w:r>
    </w:p>
    <w:p>
      <w:r>
        <w:rPr>
          <w:b/>
        </w:rPr>
        <w:t>E. 14</w:t>
      </w:r>
    </w:p>
    <w:p>
      <w:r>
        <w:t>Le 29 août 2012, l’assurée a répliqué en concluant à ce que des indemnités journalières continuent à lui être versées jusqu’à ce qu’elle recouvre une pleine capacité de travail, à ce que la SUVA soit condamnée à prendre en charge son traitement au-delà du mois de mars 2012 et à ce que l’IPAI soit réévaluée. En substance, la recourante conteste l’avis du Dr I__________. Elle allègue ne pas être atteinte d’ostéoporose mais d’une discrète ostéopénie limitée à un seul paramètre. Quant au degré de son indemnité pour atteinte à l’intégrité, la recourante la conteste en se référant à l’avis du Dr J__________, dont elle produit un rapport, rédigé le 6 juillet 2012. Le médecin y conclut que les lombalgies chroniques de l’assurée peuvent s’expliquer par une non-fusion vertébrale postérieure (instabilité au niveau L5-S1) et un déséquilibre sagittal compensé : étant continuellement penchée en avant, cela provoque une hyper-pression au niveau corps vertébraux. Elle demande l’audition des Drs J__________ et A__________, mais également d’un collaborateur de la NATIONALE SUISSE ASSURANCE - qu’elle soupçonne de l’avoir « dénoncée à toutes les autres compagnies d’assurances », d’un collaborateur d’ALLIANZ ASSURANCE, d’un collaborateur de l’assurance- invalidité et d’un collaborateur de HELSANA, assureur-maladie.</w:t>
      </w:r>
    </w:p>
    <w:p>
      <w:r>
        <w:rPr>
          <w:b/>
        </w:rPr>
        <w:t>E. 15</w:t>
      </w:r>
    </w:p>
    <w:p>
      <w:r>
        <w:t>Par écriture du 1er octobre 2012, la SUVA a indiqué ne pas avoir de remarques particulières à formuler.</w:t>
      </w:r>
    </w:p>
    <w:p>
      <w:r>
        <w:rPr>
          <w:b/>
        </w:rPr>
        <w:t>E. 16</w:t>
      </w:r>
    </w:p>
    <w:p>
      <w:r>
        <w:t>Le 26 octobre 2012, l’intimée a ajouté que les pièces produites par la recourante confirmaient que l’affection lombaire dont elle souffre remonte à une cause antérieure à l’accident, cause pour laquelle elle a été en traitement auprès de son assureur-maladie.</w:t>
      </w:r>
    </w:p>
    <w:p>
      <w:r>
        <w:rPr>
          <w:b/>
        </w:rPr>
        <w:t>E. 17</w:t>
      </w:r>
    </w:p>
    <w:p>
      <w:r>
        <w:t>Le 13 novembre 2012, la recourante a informé la Cour qu’elle devait subir une nouvelle opération du dos en décembre 2012.</w:t>
      </w:r>
    </w:p>
    <w:p>
      <w:r>
        <w:rPr>
          <w:b/>
        </w:rPr>
        <w:t>E. 18</w:t>
      </w:r>
    </w:p>
    <w:p>
      <w:r>
        <w:t>Par écriture du 14 janvier 2013, l’intimée a fait remarquer que cette nouvelle intervention ne concernait pas les suites de l’accident mais bien le problème médical préexistant à l’événement et a persisté dans ses conclusions.</w:t>
      </w:r>
    </w:p>
    <w:p>
      <w:r>
        <w:t>A/1848/2012 - 8/16 -</w:t>
      </w:r>
    </w:p>
    <w:p>
      <w:r>
        <w:rPr>
          <w:b/>
        </w:rPr>
        <w:t>E. 19</w:t>
      </w:r>
    </w:p>
    <w:p>
      <w:r>
        <w:t>Le 4 février 2013, l’assurée a produit des pièces supplémentaires en alléguant que la cimentoplastie effectuée suite à l’accident n’avait pas été suffisante pour stabiliser la vertèbre endommagée. Elle en tire la conclusion que l’opération qui a été pratiquée en janvier 2012 ne l’a pas été faite dans les règles de l’art.</w:t>
      </w:r>
    </w:p>
    <w:p>
      <w:r>
        <w:rPr>
          <w:b/>
        </w:rPr>
        <w:t>E. 20</w:t>
      </w:r>
    </w:p>
    <w:p>
      <w:r>
        <w:t>Par écriture du 28 février 2013, la SUVA a indiqué qu’elle restait d’avis que l’intervention pratiquée le 14 décembre 2012 ne concernait pas les suites de l’accident dont elle répond, le diagnostic ayant commandé l’intervention chirurgicale étant à mettre sur le compte de l’affection lombaire développée antérieurement.</w:t>
      </w:r>
    </w:p>
    <w:p>
      <w:r>
        <w:rPr>
          <w:b/>
        </w:rPr>
        <w:t>E. 21</w:t>
      </w:r>
    </w:p>
    <w:p>
      <w:r>
        <w:t>Le 21 octobre 2013, la recourante a produit les décisions rendues la concernant par l’assurance-invalidité, et lui accordant une rente entière d’invalidité à compter du 1er septembre 2005.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au moment de la décision litigieuse, l'état de santé de la recourante devait être considéré comme stabilisé, justifiant ainsi la cessation de la prise en charge du traitement médical et de l'indemnité journalière, s’il subsistait encore des troubles générant une incapacité de travail en lien avec l’accident du 31 août 2010 et, enfin, si le degré de l’indemnité pour atteinte à l’intégrité accordée par l’intimée est correcte.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A/1848/2012 - 9/16 -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w:t>
      </w:r>
    </w:p>
    <w:p>
      <w:r>
        <w:t>A/1848/2012 - 10/16 - prépondérante, usuel en matière de preuve dans le domaine des assurances sociales (ATF 126 V 360 consid. 5b; ATF 125 V 195 consid. 2; RAMA 2000 n° U 363 p. 46). Dans le cadre de lombalgies ou de lombosciatalgies sans constatation d’une aggravation radiologique, le statu quo est en principe retrouvé après 3 ou 4 mois, la symptomatologie étant alors à mettre sur le compte de l’âge (ATF non publié 8C_508/2008 du 22 octobre 2008, consid. 4.2).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A/1848/2012 - 11/16 - sociales, il y a lieu toutefois de poser des exigences sévères quant à l'impartialité de l'expert (ATF 125 V 351 consid. 3b/ee).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Ce n’est que lorsqu’il souhaite mettre un terme au versement de ses prestations avec effet rétroactif et requérir la restitution des prestations versées à tort que l’assureur doit respecter les conditions de la reconsidération (ATFA non publié U 6/03 du 6 mai 2003, consid. 4.2.1). 10. En l’espèce, force est de constater que les conclusions du Dr I__________ selon lesquelles l’accident n’a plus eu d’incidence sur la capacité de travail et aucune amélioration ne pouvait plus être attendue après la fin de l’année 2011 apparaissent convaincantes dans la mesure où tant le Dr F__________ que le Dr A__________ ont confirmé que la cimentoplastie effectuée en avril 2011 a entraîné une amélioration nette de la situation de la recourante et où il ressort des documents médicaux versés au dossier après cette intervention que les douleurs qui ont subsisté étaient de « type sciatique à droite suite à la spondylodèse du mois de mai 2010 » (cf. rapport du Dr A__________ du 7 juin 2011), ou de type « lombaires basses » (cf. rapport du Dr F__________ du 20 juin 2011) et où les examens ont montré l’absence de traduction scintigraphique du tassement du plateau supérieur de D12 (investigations complémentaires d’octobre 2011). Quant à l’avis du Dr J__________, invoqué par la recourante, il n’apporte aucun élément objectif permettant de faire douter des conclusions du Dr I__________ puisque le Dr J__________ conclut que les lombalgies chroniques de l’assurée peuvent s’expliquer par une non-fusion vertébrale postérieure provoquant une instabilité au niveau L5-S1 – donc sans relation avec la vertèbre D12 touchée lors de l’accident pris en charge par l’intimée - et un déséquilibre sagittal compensé – également sans relation avec la zone touchée lors de l’accident.</w:t>
      </w:r>
    </w:p>
    <w:p>
      <w:r>
        <w:t>A/1848/2012 - 12/16 - Eu égard à ces considérations, c’est par conséquent à juste titre que l’intimée a mis un terme à sa prise en charge avec effet au 31 mars 2012, date à partir de laquelle elle était légitimée à penser qu’il ne subsistait plus de troubles générant une incapacité de travail en lien avec l’accident du 31 août 2010. Sur ce point, le recours est rejeté. 11. Reste à examiner la question du degré de l’IPAI allouée à la recourante. L’intimée a considéré, suivant en cela l’avis du Dr I__________, qu’une IPAI de 5% se justifiait. 12.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t>A/1848/2012 - 13/16 -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 13. Depuis le 1er janvier 2008, le montant maximum du gain assuré s’élève à 126'000 fr. par an et 346 fr. par jour (art. 22 al. 1 de l'ordonnance sur l'assurance- accidents, du 20 décembre 1982 [OLAA ; RS 832.202]). Entre le 1er janvier 2000 et le 31 décembre 2007, ce montant s'élevait à 106'800 fr. par an et 293 fr. par jour (art. 22 al. 1 aOLAA; RO 1998 2588). 14. 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w:t>
      </w:r>
    </w:p>
    <w:p>
      <w:r>
        <w:t>A/1848/2012 - 14/16 - est réduite en conséquence;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(ATFA non publié U 173/00 du 22 septembre 2000, consid. 2; RAMA 1998 p. 602). Par ailleurs, une révision de l'indemnité n’est possible qu’en cas exceptionnel, si l’aggravation est importante et n’était pas prévisible (art. 36 al. 4 2ème phrase OLAA; cf. ATF non publié 8C_459/2008 du 4 février 2009, consid. 2.1.3; ATFA non publié U 124/01 du 22 novembre 2001, consid. 1b). Elle doit être d'au moins 5 % de plus que ce qui était pronostiqué (RAMA 1991 p. 306). 15. À teneur de l'art. 36 al. 2 1ère phrase LAA, les rentes d’invalidité, les indemnités pour atteinte à l’intégrité ainsi que les rentes de survivants sont réduites de manière équitable lorsque l’atteinte à la santé ou le décès ne sont que partiellement imputables à l’accident. Cette disposition légale repose sur l'idée qu'une atteinte à la santé peut ne pas avoir été causée uniquement par un accident mais conjointement à d'autres facteurs étrangers à celui-ci, alors que l'assurance-accidents n'intervient que pour les conséquences des accidents. L'art. 36 al. 2 LAA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ATF 121 V 326 consid. 3c et les références; ATF non publié 8C_277/2007 du 2 avril 2008, consid. 4; ATFA non publié U 79/03 du 18 décembre 2003, consid. 4.2). 16. En l’espèce, le Dr I__________ a expliqué s’être fondé sur les données fournies dans la table de calcul 7 (atteinte à l’intégrité dans les affections de la colonne vertébrale) pour estimer à 5% le dommage permanent induit par la fracture- tassement de la vertèbre D12. A cet égard, le médecin a noté que la</w:t>
      </w:r>
    </w:p>
    <w:p>
      <w:r>
        <w:t>A/1848/2012 - 15/16 - cunéiformisation vertébrale était inférieure à 20°, que le canal médullaire n’était pas concerné et que les troubles résiduels étaient discrets. Sur ce point non plus, ainsi que le fait remarquer l’intimée, l’assurée n’apporte aucun élément objectif propre à mettre en cause l’appréciation du Dr I__________. Au vu de ce qui précède, le recours est rejeté. Pour le surplus, la procédure est gratuite (art. 61 let. a LPGA).</w:t>
      </w:r>
    </w:p>
    <w:p>
      <w:r>
        <w:t>A/1848/2012 - 16/16 -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