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ATAS/1247/2012 vom 4. Oktober 2012</w:t>
      </w:r>
    </w:p>
    <w:p>
      <w:r>
        <w:t>GE Cour de justice, 2012-10-04, FR</w:t>
      </w:r>
    </w:p>
    <w:p>
      <w:r>
        <w:rPr>
          <w:b/>
        </w:rPr>
        <w:t xml:space="preserve">Quelle: </w:t>
      </w:r>
      <w:r>
        <w:t>https://mcp.opencaselaw.ch/entscheid/ge_gerichte_ATAS_1247_2012</w:t>
      </w:r>
    </w:p>
    <w:p>
      <w:r>
        <w:t>FR: GE_GERICHTE ATAS/1247/2012 du 4 octobre 2012</w:t>
      </w:r>
    </w:p>
    <w:p>
      <w:r>
        <w:t>IT: GE_GERICHTE ATAS/1247/2012 del 4 ottobre 2012</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La compétence de la Cour de céans pour juger du cas d’espèce est ainsi établie.</w:t>
      </w:r>
    </w:p>
    <w:p>
      <w:r>
        <w:rPr>
          <w:b/>
        </w:rPr>
        <w:t>E. 2</w:t>
      </w:r>
    </w:p>
    <w:p>
      <w:r>
        <w:t>La LPGA est entrée en vigueur le 1er janvier 2003, entraînant la modification de nombreuses dispositions légales dans le domaine de l'assurance-accidents. Dans la mesure où le litige porte sur une période postérieure, il y a lieu d'examiner le cas à l'aune du nouveau droit (ATF 130 V 329).</w:t>
      </w:r>
    </w:p>
    <w:p>
      <w:r>
        <w:rPr>
          <w:b/>
        </w:rPr>
        <w:t>E. 3</w:t>
      </w:r>
    </w:p>
    <w:p>
      <w:r>
        <w:t>Déposé dans les forme et délai légaux, le recours est recevable, de sorte qu'il convient d'entrer en matière.</w:t>
      </w:r>
    </w:p>
    <w:p>
      <w:r>
        <w:rPr>
          <w:b/>
        </w:rPr>
        <w:t>E. 4</w:t>
      </w:r>
    </w:p>
    <w:p>
      <w:r>
        <w:t>Le litige porte sur le point de savoir si le recourant a droit, au-delà du mois de novembre 2009, aux prestations de l’assurance-accidents, en particulier à la prise en charge de l’intervention subie en août 2011.</w:t>
      </w:r>
    </w:p>
    <w:p>
      <w:r>
        <w:rPr>
          <w:b/>
        </w:rPr>
        <w:t>E. 5</w:t>
      </w:r>
    </w:p>
    <w:p>
      <w:r>
        <w:t>Selon l'art. 6 al. 1 LAA, les prestations d'assurance sont allouées en cas d'accident professionnel, d'accident non professionnel et de maladie professionnelle. 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4.3.1, 119 V 355 consid. 1, 118 V 286 consid. 1b et les références).</w:t>
      </w:r>
    </w:p>
    <w:p>
      <w:r>
        <w:t>A/1565/2012 - 5/8 -</w:t>
      </w:r>
    </w:p>
    <w:p>
      <w:r>
        <w:rPr>
          <w:b/>
        </w:rPr>
        <w:t>E. 6</w:t>
      </w:r>
    </w:p>
    <w:p>
      <w:r>
        <w:t>Celui qui prétend des prestations de l'assurance-accidents doit apporter la preuve, selon la vraisemblance requise, que les conditions de l'accident sont réunies, donc également que l'accident constitue la cause naturelle de l'atteinte à la santé (ATFA non publié du 13 juin 2006, U 354/05, consid. 4.1).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Sans remettre en cause le principe de la libre appréciation des preuves, le Tribunal fédéral des assurances a posé des lignes directrices en ce qui concerne la manière d'apprécier certains types d'expertises ou de rapports médicaux (ATF 125 V 352 ss consid. 3 et les références). Ainsi,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353 consid. 3b/cc et les références, RJJ 1995, p. 44 ; RCC 1988 p. 504 consid. 2). Quant aux avis et expertises émis par les médecins des assureurs, le Tribunal fédéral des assurances a estimé que le juge peut leur accorder pleine valeur probante aussi longtemps qu'ils aboutissent à des résultats convaincants, que leurs conclusions sont sérieusement motivées, que ces avis ne contiennent pas de contradictions et qu'aucun indice concret ne permet de mettre en cause leur bien- fondé. Le simple fait qu'un médecin est lié à l'assureur par un rapport de travail ne permet pas encore de douter de l'objectivité de son appréciation ni de soupçonner une prévention à l'égard de l'assuré (ATF 125 V 353 consid. 3b/ee).</w:t>
      </w:r>
    </w:p>
    <w:p>
      <w:r>
        <w:rPr>
          <w:b/>
        </w:rPr>
        <w:t>E. 7</w:t>
      </w:r>
    </w:p>
    <w:p>
      <w:r>
        <w:t>En l’espèce, force est de constater que les Drs L____________ et N____________ n’étayent pas leur conviction selon laquelle la déchirure observée chez leur patient serait d’origine purement accidentelle. Ils se contentent d’exprimer une opinion péremptoire et non motivée.</w:t>
      </w:r>
    </w:p>
    <w:p>
      <w:r>
        <w:t>A/1565/2012 - 6/8 - Dans ces circonstances, il convient bien plutôt de se référer, ainsi que l’a fait l'intimée, aux conclusions concordantes des Drs O____________ et P____________, dont les explications apparaissent convaincantes. Ainsi, le Dr O____________ a expliqué qu’un kyste méniscal est le signe d'une lésion chronique dégénérative du ménisque externe ; celui-ci présente une lésion dégénérative micro-kystique puis macro-kystique, avec micro-fracture puis macro- fracture et développement d'une lésion kystique par hyperpression de la dégénérescence mucoïde du ménisque. Selon le Dr O____________, ce type de lésion est classiquement découvert à l'occasion d'un traumatisme mineur, lequel n’est absolument pas la cause étiologique de la lésion mais la révèle. C’est ce qui c’est passé pour l'assuré, dont le médecin a qualifié le cas de typique : un traumatisme relativement mineur a mis en évidence un kyste méniscal externe avec une déchirure partielle du ménisque externe. Le médecin a ajouté que de telles lésions dégénératives sont relativement peu symptomatiques mais évoluent lentement dans le temps sur de nombreuses années. On relèvera que cette argumentation a été corroborée par l’avis du Dr P____________ qui a lui aussi estimé que les lésions détectées à l’IRM étaient exclusivement dégénératives. Ce médecin a en outre fait remarquer que la prise de position du Dr N____________ était contredite par le fait que la lésion du ménisque était en lien avec un kyste méniscal, ce qui permet de considérer comme très vraisemblable le fait que la lésion soit dégénérative et préexistante, due au développement d'un kyste durant des années. Tout comme le Dr O____________, le Dr P____________ a expliqué qu’en de tels cas, la situation est longtemps asymptomatique et n'est révélée que par un traumatisme mineur du genou, qui ne fait que rendre douloureuse une pathologie préexistante. A cet égard, on relèvera que l’argument du recourant qui souligne n’avoir jamais souffert du genou avant son accident ne saurait être considéré comme pertinent au regard de la jurisprudence constante, selon laquelle, précisément, le seul fait que des symptômes douloureux ne se sont manifestés qu'après la survenance d'un accident ne suffit pas à établir un rapport de causalité avec cet accident (raisonnement «post hoc, ergo propter hoc»; cf. ATF 119 V 341 sv. consid. 2b/bb; RAMA 1999 no U 341 p. 408 sv. consid. 3b; arrêt A. du 31 juillet 2001 [U 492/00] consid. 3c). C’est en effet essentiellement à la lumière des renseignements d'ordre médical qu'il convient de trancher la question de la causalité naturelle, en se conformant à la règle du degré de vraisemblance prépondérante appliquée généralement à l'appréciation des preuves dans l'assurance sociale (ATF 119 V 337 consid. 1, 118 V 289 consid. 1b et les références). Eu égard à ces considérations, c’est à juste titre que l’intimée a nié tout lien de causalité naturelle au-delà des semaines ayant permis le retour au statu quo sine après une simple contusion du genou et nié le droit aux prestations au-delà du</w:t>
      </w:r>
    </w:p>
    <w:p>
      <w:r>
        <w:rPr>
          <w:b/>
        </w:rPr>
        <w:t>E. 11</w:t>
      </w:r>
    </w:p>
    <w:p>
      <w:r>
        <w:t>novembre 2009.</w:t>
      </w:r>
    </w:p>
    <w:p>
      <w:r>
        <w:t>A/1565/2012 - 7/8 - 8. Reste à examiner l’argument selon lequel le recourant n’aurait pas subi d’intervention s’il avait été informé de la position de l’intimée, argument qui revient à invoquer la protection de la bonne foi de l’intéressé. Le droit à la protection de la bonne foi est expressément consacré par la Constitution. Selon la jurisprudence, il permet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 réunies : il faut que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un préjudice; que la loi n’ait pas changé depuis le moment où le renseignement a été donné (ATF 131 II 627 consid. 6 et les références citées). Le droit à la protection de la bonne foi suppose donc un lien de causalité entre le renseignement obtenu et les dispositions prises par l’administré. Un tel lien existe si l’on peut admettre que celui-ci se serait comporté autrement sans le renseignement donné par l’autorité. En revanche, tout lien de causalité doit être nié si l’on peut admettre que même sans le renseignement obtenu, l’administré aurait pris les mêmes dispositions (WEBER-DÜRLER, Vertrauensschutz im öffentlichen Recht, Bâle 1983, p. 102; le même auteur, Falsche Auskünfte von Behörden, in ZBl 1991 p. 16). En ce qui concerne la preuve du lien de causalité, on ne saurait poser des exigences trop strictes. En effet, à partir du moment où l’administré a demandé des renseignements, il en découle la présomption de fait qu’en cas de réponse négative, il aurait adopté un autre comportement. Dès lors, la preuve du lien de causalité sera considérée comme donnée s’il apparaît vraisemblable, selon l’expérience générale de la vie, que l’administré se serait comporté autrement sans le renseignement obtenu (ATF 121 V 67 consid. 2b ; voir aussi l’ATF non publié du 8 mars 2004, H 149/03, consid. 2.5). 9. En l’espèce, force est de constater que la première condition permettant l’invocation de la protection de la bonne foi fait déjà défaut dans la mesure où l’assurance ne s’est jamais engagée auprès de l’assuré à prendre en charge l’intervention. Le recourant n’allègue d’ailleurs pas s’être expressément adressé à l’intimée au moment de l’intervention pour lui demander si elle acceptait d’entrer en matière. Il ne saurait, dans ces conditions, soutenir qu’un renseignement erroné lui aurait été donné. Le recours doit dès lors être rejeté.</w:t>
      </w:r>
    </w:p>
    <w:p>
      <w:r>
        <w:t>A/1565/2012 - 8/8 -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