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ATAS/1246/2013 vom 17. Dezember 2013</w:t>
      </w:r>
    </w:p>
    <w:p>
      <w:r>
        <w:t>GE Cour de justice, 2013-12-17, FR</w:t>
      </w:r>
    </w:p>
    <w:p>
      <w:r>
        <w:rPr>
          <w:b/>
        </w:rPr>
        <w:t xml:space="preserve">Quelle: </w:t>
      </w:r>
      <w:r>
        <w:t>https://mcp.opencaselaw.ch/entscheid/ge_gerichte_ATAS_1246_2013</w:t>
      </w:r>
    </w:p>
    <w:p>
      <w:r>
        <w:t>FR: GE_GERICHTE ATAS/1246/2013 du 17 décembre 2013</w:t>
      </w:r>
    </w:p>
    <w:p>
      <w:r>
        <w:t>IT: GE_GERICHTE ATAS/1246/2013 del 17 dicembre 2013</w:t>
      </w:r>
    </w:p>
    <w:p>
      <w:pPr>
        <w:pStyle w:val="Heading2"/>
      </w:pPr>
      <w:r>
        <w:t>Erwägungen</w:t>
      </w:r>
    </w:p>
    <w:p>
      <w:r>
        <w:rPr>
          <w:b/>
        </w:rPr>
        <w:t>E. 1</w:t>
      </w:r>
    </w:p>
    <w:p>
      <w:r>
        <w:t>Conformément à l'art. 134 al. 3 let. a de la loi sur l'organisation judiciaire, du 26 septembre 2010 (LOJ; RS E 2 05) en vigueur dès le 1er janvier 2011, la Chambre</w:t>
      </w:r>
    </w:p>
    <w:p>
      <w:r>
        <w:t>A/3247/2013 - 5/12 -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Selon l'art. 1A LPCC, les prestations complémentaires familiales sont régies par: a) les dispositions figurant aux titres IIA et III de la LPCC; b) les dispositions de la loi fédérale (LPC) auxquelles la LPCC renvoie expressément, ainsi que les dispositions d'exécution de la loi fédérale désignées par règlement du Conseil d'Etat; c) la LPGA et ses dispositions d'exécution.</w:t>
      </w:r>
    </w:p>
    <w:p>
      <w:r>
        <w:rPr>
          <w:b/>
        </w:rPr>
        <w:t>E. 3</w:t>
      </w:r>
    </w:p>
    <w:p>
      <w:r>
        <w:t>Interjeté dans les forme et délai prévus par la loi, le recours est recevable (art. 56 ss LPGA).</w:t>
      </w:r>
    </w:p>
    <w:p>
      <w:r>
        <w:rPr>
          <w:b/>
        </w:rPr>
        <w:t>E. 4</w:t>
      </w:r>
    </w:p>
    <w:p>
      <w:r>
        <w:t>a) 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 b) L'art. 36A al. 1 LPCC prévoit qu'ont droit aux prestations complémentaires familiales les personnes qui, cumulativement : - ont leur domicile et leur résidence habituelle sur le territoire de la République et canton de Genève depuis 5 ans au moins au moment du dépôt de la demande de prestations (a); - vivent en ménage commun avec des enfants de moins de 18 ans, respectivement 25 ans si l'enfant poursuit une formation (b); - exercent une activité lucrative salariée (c); - ne font pas l'objet d'une taxation d'office par l'administration fiscale cantonale. Le Conseil d’Etat définit les exceptions (d); - répondent aux autres conditions prévues par la loi (e). Selon l'al. 2, sont considérés comme enfants au sens de l'article 36A, alinéa 1, lettre b, notamment, les enfants avec lesquels existe un lien de filiation en vertu du code civil. L'al. 4 précise que pour bénéficier des prestations, le taux de l'activité lucrative mentionnée à l'article 36A, alinéa 1, lettre c, doit être, par année, au minimum de 40% lorsque le groupe familial comprend une personne adulte et de 90% lorsque le groupe familial comprend deux personnes adultes.</w:t>
      </w:r>
    </w:p>
    <w:p>
      <w:r>
        <w:t>A/3247/2013 - 6/12 - c) L'art. 36C al. 1 LPCC prévoit que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d) S'agissant des principes et calcul de la prestation, l'art. 36D LPCC al. 1 et al. 2 précise que le montant annuel des prestations complémentaires familiales correspond à la part des dépenses reconnues au sens de l'article 36F qui excède le revenu déterminant au sens de l'article 36E, mais ne doit pas dépasser le montant prévu à l'article 15, alinéa 2. Les dépenses reconnues et les revenus déterminants des membres du groupe familial sont additionnés. Selon l'al. 3, font partie du groupe familial : l'ayant droit (a); les enfants au sens de l'art. 36A al. 2 (b); le conjoint non séparé de corps ni de fait ou le partenaire enregistré non séparé de fait au sens de la loi fédérale (c); toutes les autres personnes qui ont, à l'égard des enfants, un lien de filiation ou la qualité de parents nourriciers au sens de l'art. 36A, alinéa 2 lettre c et font ménage commun avec eux (d). e) Selon l'art 36E al. 1 LPCC; le revenu déterminant est calculé conformément à l'article 11 de la loi fédérale,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Les al. 2 à 5 prévoit les modalités de la prise en compte d'un revenu hypothétique. Selon l'al. 6,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w:t>
      </w:r>
    </w:p>
    <w:p>
      <w:r>
        <w:rPr>
          <w:b/>
        </w:rPr>
        <w:t>E. 5</w:t>
      </w:r>
    </w:p>
    <w:p>
      <w:r>
        <w:t>Selon l'art. 11 al. 1 LPC, les rentes, pensions et autres prestations périodiques, y compris les rentes de l’AVS et de l’AI (let. d), les allocations familiales (let. f) et les pensions alimentaires prévues par le droit de la famille (let. h) sont notamment des revenus déterminants. Les directives applicables aux prestations complémentaires fédérales précisent que des prestations d’entretien dues mais non versées sont entièrement prises en compte dans les revenus, à moins qu’elles ne soient irrécouvrables. La preuve du caractère irrécouvrable de la créance incombe au bénéficiaire de PC (DPC, no 3482.09). Si aucune contribution d’entretien n’a été prévue en faveur des enfants, l’organe PC doit déterminer une éventuelle obligation y relative et en fixer le montant à prendre en compte sur la base des critères précisés par les directives (pourcentage du revenu du débirentier variable selon le nombre d'enfants créanciers), le cas échéant selon les directives sur les cotisations des travailleurs indépendants et des personnes sans</w:t>
      </w:r>
    </w:p>
    <w:p>
      <w:r>
        <w:t>A/3247/2013 - 7/12 - activité lucrative (DPC 3493.01). Celles-ci (DIN), précisent que font partie des besoins vitaux (minimum vital), à part le montant de base personnel du débiteur et les obligations d’entretien de celui-ci en vertu du droit de la famille, en particulier les frais de loyer et de chauffage, les charges sociales, ainsi que d’éventuelles dépenses professionnelles et les frais de maladie non couverts (DIN, no 3033).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(DPC 2393.05). Selon la jurisprudence, on peut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P68/02 du 11 février 2004).</w:t>
      </w:r>
    </w:p>
    <w:p>
      <w:r>
        <w:rPr>
          <w:b/>
        </w:rPr>
        <w:t>E. 6</w:t>
      </w:r>
    </w:p>
    <w:p>
      <w:r>
        <w:t>Selon l'art. 19 du règlement relatif aux prestations complémentaires familiales du 27 juin 2012 (RS J 4 25.04; RPCFam), lorsqu'un ayant droit ou un membre du groupe familial renonce à des éléments de revenus ou renonce à faire valoir un droit à un revenu, il est tenu compte d'un revenu hypothétique, conformément à l'article 11, alinéa 1, lettre g, de la loi fédérale. Les revenus hypothétiques suivants sont notamment pris en compte dans le revenu déterminant du groupe familial : a) un montant correspondant à la contribution d'entretien, due par les parents en vertu du code civil suisse à un ayant droit sous contrat d'apprentissage, âgé de moins de 25 ans, vivant dans son propre ménage. Si la contribution n'est pas déterminée par une convention ou dans un jugement, le service fixe le montant en appliquant par analogie les directives fédérales concernant les prestations complémentaires à l'AVS et à l'AI; b) un montant équivalent aux allocations de formation professionnelle lorsqu'un jeune adulte âgé de plus de 16 ans, mais de moins de 18 ans, ne poursuit aucune formation ou études. Selon l'art. 4 al. 1 du règlement d’application de la loi sur l’avance et le recouvrement des pensions alimentaires du 2 juin 1986 (RARPA; E 1 25.01), dans sa teneur en vigueur dès le 1er janvier 2009, le montant de l'avance en faveur d'un enfant correspond à celui de la pension fixée par le jugement ou la convention, mais au maximum à 673 F par mois et par enfant.</w:t>
      </w:r>
    </w:p>
    <w:p>
      <w:r>
        <w:t>A/3247/2013 - 8/12 -</w:t>
      </w:r>
    </w:p>
    <w:p>
      <w:r>
        <w:rPr>
          <w:b/>
        </w:rPr>
        <w:t>E. 7</w:t>
      </w:r>
    </w:p>
    <w:p>
      <w:r>
        <w:t>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Ainsi, la cible du projet de loi est d'améliorer la situation économique des familles pauvres qui travaillent. L'exposé des motifs indique, à propos de l'art. 36E al. 5 LPCC, qu'en vertu de l'article 11 de la loi fédérale, applicable par le renvoi de l'article 36E, alinéa 1 LPCC, il faut considérer comme revenus tous les éléments de revenu et de fortune auxquels il aurait été renoncé, y compris la pension alimentaire. Si une telle pension est fixée par jugement, son montant est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(ci-après : le SCARPA). Dans ces cas, le calcul de sa prestation complémentaire familiale prend en compte une pension hypothétique de 673 fr. par mois et par enfant et de 833 fr. par mois pour le conjoint. Cette disposition ne sera bien entendu pas applicable lorsque le créancier d'une pension alimentaire est dans l'impossibilité de la réclamer (par exemple lorsque le débiteur est parti pour une destination inconnue) (MGC 2009-2010 III A et MGC 2010-2011 V A p. 3ss).</w:t>
      </w:r>
    </w:p>
    <w:p>
      <w:r>
        <w:rPr>
          <w:b/>
        </w:rPr>
        <w:t>E. 8</w:t>
      </w:r>
    </w:p>
    <w:p>
      <w:r>
        <w:t>Dans un arrêt du 19 août 2013 (ATAS/775/2013), la Chambre de céans a confirmé une décision du SPC retenant une contribution d'entretien hypothétique au motif que l'assurée n'avait apporté aucun élément démontrant que le père de son enfant était incapable de contribuer à son entretien. Dans ce cas-là, le père était en âge de le faire, rien ne permettait de retenir que son état de santé l'en empêchait et l'assurée n'avait pas précisé les motifs de l'absence de toute contribution. Il a dans ce cadre été indiqué qu'il n'appartenait pas à la Chambre des assurances sociales de se substituer au juge civil, seul compétent pour une éventuelle action alimentaire.</w:t>
      </w:r>
    </w:p>
    <w:p>
      <w:r>
        <w:rPr>
          <w:b/>
        </w:rPr>
        <w:t>E. 9</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Selon l'al. 2, les allocations pour enfants, les rentes d'assurances sociales et autres prestations destinées à l'entretien de l'enfant, qui reviennent à la personne tenue de pourvoir à son entretien, doivent être versées en sus de la contribution d'entretien, sauf décision contraire du juge. Les différents critères de l'art. 285 al. 1 CC doivent être pris en considération; ils exercent une influence réciproque les uns sur les autres. Ainsi, les besoins de l'enfant doivent être examinés en relation avec les trois autres éléments évoqués et</w:t>
      </w:r>
    </w:p>
    <w:p>
      <w:r>
        <w:t>A/3247/2013 - 9/12 - la contribution d'entretien doit toujours être dans un rapport raisonnable avec le niveau de vie et la capacité contributive du débirentier (ATF 116 II 110). En présence de capacités financières limitées, le minimum vital du débirentier au sens du droit des poursuites doit en principe être garanti. En outre, lorsque plusieurs enfants ont droit à une contribution d'entretien, le principe de l'égalité de traitement doit être respecté (ATF 127 III 68; 126 III 353). Le Tribunal fédéral a nuancé ce principe. Par exemple, la charge fiscale du débirentier ne doit pas être prise en considération lorsque les ressources financières sont modestes (ATF 126 III 253), un parent peut avoir plusieurs enfants qui ont des besoins d’entretien comparables, mais leur devoir une contribution d’entretien différente, parce que les enfants vivent dans des ménages différents et dans des conditions financières différentes (ATF 126 III 353). Lorsque le père qui vit en famille avec son épouse et les enfants issus de leur mariage, doit en outre contribuer à l’entretien d’un enfant né hors mariage et que sa situation financière est difficile, on peut exclure dans le calcul de son minimum vital certains montants concernant soit les enfants vivant dans la famille, soit son épouse, et partager ainsi le montant disponible entre tous les enfants, s’ils ont des besoins objectivement égaux (ATF 127 III 68 ; arrêt du 14 avril 2008; 5A_172/2008). La méthode abstraite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Dans la pratique, la Cour de justice tient compte de l'entretien de base selon les normes de l'Office des poursuites, du loyer réel, des impôts, de la prime d'assurance-maladie de base (arrêt du Tribunal fédéral 5A.654/2007), de la part non couverte des frais médicaux et de la franchise, lorsque des frais effectifs réguliers sont établis (ATF 129 III 242), cas échéant d'autres frais lorsque le débirentier est encore actif (frais de repas pris hors du domicile, frais de déplacements).</w:t>
      </w:r>
    </w:p>
    <w:p>
      <w:r>
        <w:rPr>
          <w:b/>
        </w:rPr>
        <w:t>E. 10</w:t>
      </w:r>
    </w:p>
    <w:p>
      <w:r>
        <w:t>En l'espèce, le SPC retient une contribution d'entretien hypothétique de CHF 673.- par mois et par enfant au motif que l'assurée n'a pas démontré que le père des enfants n'était pas en mesure de contribuer à leur entretien. Il n'est pas contesté que la recourante n'a jamais assigné le père de ses enfants afin d'obtenir un jugement civil statuant sur l'étendue de son obligation d'entretien. Il ne s'agit donc pas d'examiner si la créance d'entretien fixée par le juge civil est irrécouvrable, mais de déterminer si et dans quelle mesure le père des enfants dispose des ressources suffisantes pour, concrètement, contribuer à l'entretien de ses enfants. Pour ce faire, les directives concernant l'art. 11 LPC applicable par le renvoi de l'article 36E, alinéa 1 LPCC, prévoient que les organes chargés de l'application de la LPC doivent établir le montant de la contribution d'entretien exigible en respectant notamment le minimum vital du débirentier. Dans la mesure où ces organes sont même habilités à obtenir la taxation fiscale de l'ex-conjoint (ce qui n'est pas le cas</w:t>
      </w:r>
    </w:p>
    <w:p>
      <w:r>
        <w:t>A/3247/2013 - 10/12 - d'espèce, les parents n'ayant jamais été mariés), on peut à tout le moins exiger du SPC qu'il interpelle l'assurée sur l'absence de contribution d'entretien et lui permette de fournir toute indication et pièce utiles à la détermination de celle-ci. Il s'agit là du respect élémentaire du droit d'être entendu. A réception de la décision querellée, l'assurée a exposé les motifs de l'absence de toute contribution d'entretien, puis elle a précisé la situation matrimoniale du père des enfants, rappelant sa totale incapacité de travail. Le cas échéant, le SPC devait lui octroyer un délai pour produire les pièces établissant les revenus et les charges de la famille du père des enfants, afin de procéder au calcul du minimum vital détaillé dans l'annexe 4 des DIN. En refusant toute prestation sans déterminer de montant de la pension alimentaire qui aurait le cas échéant été mise à la charge du père des enfants, le SPC a violé la loi. Cela étant, il s'avère que cet examen aurait conduit à renoncer à toute contribution hypothétique. Certes, il est possible qu'un bénéficiaire de prestations complémentaires soit astreint au paiement d'une contribution d'entretien en faveur de ses enfants, auquel cas celle-ci est prise en compte au titre des dépenses. Tel est le cas si le débirentier a été condamné à payer la contribution avant d'être invalide et bénéficiaire de prestations complémentaires. Par contre, une action alimentaire contre un père déjà invalide et bénéficiaire de prestations complémentaires est dans la plupart des cas vouée à l'échec. Dans cette hypothèse, le juge civil prend en général acte du fait que les enfants bénéficieront des rentes complémentaires pour enfant de l'AI et de la LPP, le cas échéant des prestations complémentaires, au titre de contribution de leur père, suppléant ainsi son incapacité contributive propre. Le cas échéant, il condamne le père à les verser à la mère des enfants. Au demeurant, c'est plus fréquemment lorsque le conjoint du bénéficiaire est tenu au paiement d'une contribution pour ses enfants issus d'une précédente union que celle-ci est prise en compte au titre de dépenses. Cela ne permet pas pour autant au SPC de retenir, dans le cas d'espèce, que le père des enfants disposerait d'une capacité contributive. En effet, s'il perçoit des prestations complémentaires fédérales de CHF 3'405.- par mois, c'est manifestement que sa rente d'invalidité (faible au vu du montant de celle pour enfant) et les revenus de son épouse - voire le gain potentiel retenu par le service compétent du canton de Fribourg - ne leur permettent pas de couvrir leurs propres besoins vitaux. Il est ainsi établi au degré de la vraisemblance prépondérante que le père des enfants ne serait pas condamné au paiement d'une contribution à leur entretien, en 2012, qui est l'année déterminante pour le calcul des prestations familiales. Ainsi, conformément à la jurisprudence et aux directives, si l'absence de capacité contributive est établie par l'autorité administrative, il n'est pas exigible de l'assurée qu'elle agisse par la voie judiciaire pour le prouver. Il faut donc retenir que l'impossibilité du père de subvenir à l'entretien de ses enfants est suppléée par les rentes complémentaire AI et les prestations complémentaires.</w:t>
      </w:r>
    </w:p>
    <w:p>
      <w:r>
        <w:t>A/3247/2013 - 11/12 -</w:t>
      </w:r>
    </w:p>
    <w:p>
      <w:r>
        <w:rPr>
          <w:b/>
        </w:rPr>
        <w:t>E. 11</w:t>
      </w:r>
    </w:p>
    <w:p>
      <w:r>
        <w:t>Au surplus, le SPC se méprend sur les conséquences mathématiques de l'existence d'une contribution d'entretien sur le montant des prestations complémentaires. S'il est exact que les prestations du père seraient augmentées à concurrence de la contribution qu'il doit payer à ses enfants, prise en compte au titre de dépenses, l'effet serait bien sûr inverse pour les enfants, dont les prestations complémentaires seraient réduites à concurrence de la pension perçue, dont il serait tenu compte au titre de revenu. En d'autres termes, dans l'hypothèse où le père des enfants avait été condamné à payer une contribution de CHF 300.- par mois pour chacune de ses filles, le montant de leurs prestations complémentaires serait déduit d'autant, de sorte que le total des ressources de l'assurée resterait identique. Les deux filles de l'assurée bénéficient au total de prestations complémentaires de CHF 1'444.-, dont CHF 186.- de subside dès décembre 2012, CHF 1457.- dont CHF 180.- de subside dès janvier 2013 et 1'235.- dont CHF 180.- de subside dès mars 2013. Il faudrait ainsi qu'elles puissent prétendre à une contribution d'entretien de CHF 722.- en 2012, et de CHF 620.- dès mars 2013 par mois chacune pour compenser leurs prestations complémentaires fédérales, ce qui est totalement exclu au vu de la situation de leur père. En effet, même lorsque le Tribunal civil limite la prise en compte de certaines charges du débirentier (cf. la jurisprudence précitée), de son épouse ou de leurs enfants communs et entame ainsi son minimum vital, cela permet au mieux de dégager une pension de CHF 200.- à 300.- par mois pour les enfants nés hors mariage. Finalement, au vu de la solution du litige en l'absence de capacité contributive du père des enfants et du fait que le montant pris en compte au titre de contribution hypothétique (CHF 16'152.-) est pratiquement compensé par celui des prestations complémentaires perçues, y compris le subside (entre CHF 13'836.- en novembre 2012 et CHF 17'484.- en janvier 2013), la question de la légalité de la prise en compte des avances du SCARPA sans égard pour la capacité contributive réelle du débirentier pourra rester ouverte. A noter que si c'est bien le montant total de la prestation qui doit être comparé à la contribution, c'est à juste titre que le SPC a retenu au titre de prestations périodiques les rentes complémentaires AI et les prestations complémentaires nettes, sans le subside.</w:t>
      </w:r>
    </w:p>
    <w:p>
      <w:r>
        <w:rPr>
          <w:b/>
        </w:rPr>
        <w:t>E. 12</w:t>
      </w:r>
    </w:p>
    <w:p>
      <w:r>
        <w:t>Le recours est admis et la décision sur opposition du 11 septembre 2013 est annulée en tant qu'elle tient compte d'une contribution d'entretien hypothétique en faveur des enfants. La cause sera renvoyée à l'intimé pour nouvelle décision.</w:t>
      </w:r>
    </w:p>
    <w:p>
      <w:r>
        <w:t>A/3247/2013 - 12/12 -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