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ATAS/1246/2012 vom 4. Oktober 2012</w:t>
      </w:r>
    </w:p>
    <w:p>
      <w:r>
        <w:t>GE Cour de justice, 2012-10-04, FR</w:t>
      </w:r>
    </w:p>
    <w:p>
      <w:r>
        <w:rPr>
          <w:b/>
        </w:rPr>
        <w:t xml:space="preserve">Quelle: </w:t>
      </w:r>
      <w:r>
        <w:t>https://mcp.opencaselaw.ch/entscheid/ge_gerichte_ATAS_1246_2012</w:t>
      </w:r>
    </w:p>
    <w:p>
      <w:r>
        <w:t>FR: GE_GERICHTE ATAS/1246/2012 du 4 octobre 2012</w:t>
      </w:r>
    </w:p>
    <w:p>
      <w:r>
        <w:t>IT: GE_GERICHTE ATAS/1246/2012 del 4 ottobre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de la Cour de céans pour juger du cas d'espèce est ainsi établie.</w:t>
      </w:r>
    </w:p>
    <w:p>
      <w:r>
        <w:rPr>
          <w:b/>
        </w:rPr>
        <w:t>E. 2</w:t>
      </w:r>
    </w:p>
    <w:p>
      <w:r>
        <w:t>La LPGA, entrée en vigueur le 1er janvier 2003, de même que les modifications de la LAI du 21 mars 2003 (4ème révision),entrée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A/3497/2011 - 9/14 -</w:t>
      </w:r>
    </w:p>
    <w:p>
      <w:r>
        <w:rPr>
          <w:b/>
        </w:rPr>
        <w:t>E. 3</w:t>
      </w:r>
    </w:p>
    <w:p>
      <w:r>
        <w:t>Le recours interjeté respectant les forme et délai prévus par la loi (art. 56 à 60 LPGA), il y a lieu de le déclarer recevable.</w:t>
      </w:r>
    </w:p>
    <w:p>
      <w:r>
        <w:rPr>
          <w:b/>
        </w:rPr>
        <w:t>E. 4</w:t>
      </w:r>
    </w:p>
    <w:p>
      <w:r>
        <w:t>Le litige porte sur la question de savoir si l'état de santé de l'assuré s'est aggravé au point de lui ouvrir droit aux prestations de l’assurance-invalidité depuis la décision de rejet rendue par l’intimé en janvier 2007. Mais en premier lieu, il convient de se pencher sur le grief de manque de motivation et de violation du droit d’être entendu invoqué par le recourant.</w:t>
      </w:r>
    </w:p>
    <w:p>
      <w:r>
        <w:rPr>
          <w:b/>
        </w:rPr>
        <w:t>E. 5</w:t>
      </w:r>
    </w:p>
    <w:p>
      <w:r>
        <w:t>Ce dernier soutient en effet que son droit d’être entendu aurait été violé dans la mesure où le manque de motivation de la décision litigieuse, d’une part, et le fait que l’avis du SMR sur lequel l’intimé s’est basé ne lui a pas été communiqué, d’autre part, l’auraient mis dans l’impossibilité de motiver son recours correctement. Le droit d’être entendu est une garantie constitutionnelle de caractère formel, dont la violation doit entraîner l’annulation de la décision attaquée, indépendamment des chances de succès du recourant sur le fond (ATF 127 V 437 consid. 3d/aa, 127 V 132 consid. 2b). La jurisprudence, rendue sous l’empire de l’art. 4 de l’ancienne constitution,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2a, 375 consid. 3b). Selon la jurisprudence (consid. 4 de l’arrêt A. du 27 mars 2001, H 249/00 et H 256/00), en découle également, pour le justiciable, le droit d’obtenir une décision motivée. L’autorité est ainsi tenue de motiver ses décisions ; il suffit que l’assuré puisse se rendre compte de la portée de la décision prise à son égard et, le cas échéant, recourir contre celle-ci en connaissance de cause (ATF 124 V 181 consid. 1a ; 124 II 149 consid. 2a et réf. citées). Tel est le cas en l’espèce. S’il est vrai que la motivation de la décision litigieuse n’est pas longue, il en ressort néanmoins clairement que l’OAI rejette la nouvelle demande de l’assuré en se fondant sur l’avis de son SMR, dont il est précisé qu’il estime que « le rapport du Dr V___________ fait état d’une pathologie urologique bénigne, bien contrôlée par le traitement, en présence d’une fonction mictionnelle normale, qui ne saurait justifier une quelconque invalidité ». Dans ces conditions, on ne saurait considérer que le recourant était dans l’impossibilité d’ « argumenter correctement son recours ». On relèvera par ailleurs que l’assuré, dûment informé des intentions de l’OAI par l’envoi d’un projet de décision le 31 octobre 2006, a été entendu le 11 décembre 2006. On ajoutera que selon la jurisprudence, la violation du droit d'être entendu - pour autant qu'il y en ait eu une - est réparée lorsque la</w:t>
      </w:r>
    </w:p>
    <w:p>
      <w:r>
        <w:t>A/3497/2011 - 10/14 - partie lésée a la possibilité de s'exprimer devant une autorité de recours jouissant d'un plein pouvoir d'examen (ATF 127 V 437 consid. 3d/aa, 126 I 72, 126 V 132 consid. 2b et les références). En admettant même qu’il y ait eu violation mineure du droit d’être entendu du recourant - ce que la Cour ne pense pas -, celle-ci a été réparée devant la juridiction de céans. Ce premier grief doit donc être écarté.</w:t>
      </w:r>
    </w:p>
    <w:p>
      <w:r>
        <w:rPr>
          <w:b/>
        </w:rPr>
        <w:t>E. 6</w:t>
      </w:r>
    </w:p>
    <w:p>
      <w:r>
        <w:t>Reste à examiner s’il y a eu aggravation de l’état de santé du recourant depuis janvier 2007.</w:t>
      </w:r>
    </w:p>
    <w:p>
      <w:r>
        <w:rPr>
          <w:b/>
        </w:rPr>
        <w:t>E. 7</w:t>
      </w:r>
    </w:p>
    <w:p>
      <w:r>
        <w:t>a) Lorsque la rente a été refusée parce que le degré d'invalidité était insuffisant, la nouvelle demande ne peut être examinée que si l'assuré rend plausible que son invalidité ou son impotence s'est modifiée de manière à influencer ses droits (art. 17 LPGA; art. 87 al. 3 et 4 du règlement sur l’assurance-invalidité du 17 janvier 1961 [RAI]).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c) Lorsque l'administration entre en matière sur la nouvelle demande, elle doit examiner l'affaire au fond et vérifier que la modification de l'invalidité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8</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A/3497/2011 - 11/14 -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A/3497/2011 - 12/14 -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En l’espèce, le recourant invoque la perte de vision de son œil gauche. Or, il a admis que cette perte remonte à 2000. Il n’y a donc là aucune aggravation au sens de l’assurance-invalidité. Le recourant argue que l’aggravation se situe plutôt au niveau de son œil droit. A cet égard, le médecin spécialiste a toutefois indiqué que l’atteinte au niveau de l’œil droit était en grande partie corrigée et qu’elle était quoi qu’il en soit sans conséquences sur la capacité de travail, l’exercice d’une activité adaptée restant possible à 100%. Un inconfort au niveau des zones ORL a également été invoqué, dont le médecin traitant a cependant admis qu’il était sans influence sur la capacité de travail de son patient. L’obésité a déjà été invoquée en 1994 par le médecin-traitant. Même si elle s’est aggravée, on ne saurait considérer le syndrome métabolique évoqué comme invalidant dans la mesure où le début de diabète a été enrayé par le traitement et où un taux élevé de cholestérol n’induit aucune incapacité de travail. Reste le prostatisme. Certes, il s’agit là d’un nouveau diagnostic. Cependant, ainsi que l’a déjà rappelé notre Haute Cour dans son arrêt du 6 mars 2006 à l’égard du recourant, sont seuls déterminants les effets de l’atteinte à la santé sur la capacité de travail, et, partant, sur la capacité de gain de l’assuré. En soi, un diagnostic ne signifie pas encore qu’il existe une atteinte ayant valeur de maladie ou des effets sur la capacité de travail et de gain (arrêt I 711/2004 consid. 3). Or, en l’occurrence, le Dr V___________ a précisé que le traitement avait permis de diminuer les urgences mictionnelles et leur fréquence. Il a ajouté avoir constaté à l'examen une vessie de bonne capacité, sans irrégularité suspecte et une débitmétrie mictionnelle parfaitement normale. Dans ces conditions, il paraît tout à fait légitime de conclure</w:t>
      </w:r>
    </w:p>
    <w:p>
      <w:r>
        <w:t>A/3497/2011 - 13/14 - que le prostatisme diagnostiqué n’a pas aggravé l’état de santé de l’assuré au point d’influencer son droit aux prestations. Eu égard à ce qui précède, il apparaît qu’aucune des nouvelles atteintes invoquées par l’assuré à l’appui de sa nouvelle demande ne constitue une aggravation susceptible d’influencer sa capacité de travail et de gain et, partant, son droit aux prestations. Dans ces conditions, c’est à juste titre que l’intimé a rejeté sa demande.</w:t>
      </w:r>
    </w:p>
    <w:p>
      <w:r>
        <w:t>A/3497/2011 - 14/14 -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