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ATAS/1246/2009 vom 18. September 2009</w:t>
      </w:r>
    </w:p>
    <w:p>
      <w:r>
        <w:t>GE Cour de justice, 2009-09-18, FR</w:t>
      </w:r>
    </w:p>
    <w:p>
      <w:r>
        <w:rPr>
          <w:b/>
        </w:rPr>
        <w:t xml:space="preserve">Quelle: </w:t>
      </w:r>
      <w:r>
        <w:t>https://mcp.opencaselaw.ch/entscheid/ge_gerichte_ATAS_1246_2009</w:t>
      </w:r>
    </w:p>
    <w:p>
      <w:r>
        <w:t>FR: GE_GERICHTE ATAS/1246/2009 du 18 septembre 2009</w:t>
      </w:r>
    </w:p>
    <w:p>
      <w:r>
        <w:t>IT: GE_GERICHTE ATAS/1246/2009 del 18 settembre 2009</w:t>
      </w:r>
    </w:p>
    <w:p>
      <w:pPr>
        <w:pStyle w:val="Heading2"/>
      </w:pPr>
      <w:r>
        <w:t>Erwägungen</w:t>
      </w:r>
    </w:p>
    <w:p>
      <w:r>
        <w:rPr>
          <w:b/>
        </w:rPr>
        <w:t>E. 1</w:t>
      </w:r>
    </w:p>
    <w:p>
      <w:r>
        <w:t>a) Selon l’art. 89 al. 1 de la loi fédérale sur l'assurance-maladie, du 18 mars 1994 (LAMal ; RS 832.10),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b) En l’espèce, la qualité de fournisseur de prestations au sens des art. 35ss LAMal et 38ss de l'ordonnance sur l'assurance-maladie, du 27 juin 1995 (OAMal ; RS 832.102) du défendeur n’est pas contestée. Quant aux demanderesses, elles entrent dans la catégorie des assureurs au sens de la LAMal. La compétence du Tribunal arbitral du canton de Genève est également acquise ratione loci, dans la mesure où le cabinet du défendeur y est installé à titre permanent. Sa compétence pour juger du cas d’espèce est ainsi établie.</w:t>
      </w:r>
    </w:p>
    <w:p>
      <w:r>
        <w:rPr>
          <w:b/>
        </w:rPr>
        <w:t>E. 2</w:t>
      </w:r>
    </w:p>
    <w:p>
      <w:r>
        <w:t>Les demandes respectent les conditions de forme prescrites par les art. 64 al. 1 et 65 de la loi sur la procédure administrative, du 12 septembre 1985 (LPA ; RS E 5 10). Elles sont dès lors recevables.</w:t>
      </w:r>
    </w:p>
    <w:p>
      <w:r>
        <w:rPr>
          <w:b/>
        </w:rPr>
        <w:t>E. 3</w:t>
      </w:r>
    </w:p>
    <w:p>
      <w:r>
        <w:t>a) Aux termes de l'art. 25 al. 2 de la loi fédérale sur la partie générale du droit des assurances sociales, du 6 octobre 2000 (LPGA ; RS 830.1), le droit de demander la</w:t>
      </w:r>
    </w:p>
    <w:p>
      <w:r>
        <w:t>A/2801/2006 - 15/23 - restitution s'éteint un an après le moment où l'institution d'assurance a eu connaissance du fait, mais au plus tard cinq ans après le versement de la prestation. Le même délai s'applique aux prétentions en restitution fondées sur l'art. 56 al. 2 LAMal (ATF 133 579 p. 582 consid. 4.1). Il s'agit d'une question qui doit être examinée d'office par le juge saisi d'une demande de restitution (arrêt du Tribunal fédéral K 9/00 du 24 avril 2003, consid. 2). Avant l'entrée en vigueur de la LPGA, en date du 1er janvier 2003, l'art. 47 al. 2 de la loi fédérale sur l'assurance-vieillesse et survivants, du 20 décembre 1946 (LAVS ; RS 831.10) était applicable par analogie pour ce qui concerne la prescription des prétentions en restitution, selon la jurisprudence (ATF 103 V 153 consid. 3). Cette disposition avait la même teneur que l'art. 25 al. 2 LPGA, de sorte que l'ancienne jurisprudence concernant la prescription reste valable. Selon celle-ci, les délais de la disposition précitée constituent des délais de péremption (ATF 119 V 433 consid. 3a). L'expiration de ce délai est empêché lorsque les assureurs-maladie introduisent une demande dans le délai d'une année à partir de la connaissance des statistiques par devant l'organe conventionnel, l'instance de conciliation légale ou le Tribunal arbitral (RAMA 2003, p. 218, consid. 2.2.1). Le délai commence à courir au moment où les statistiques déterminantes sont portées à la connaissance des assureurs suisses (arrêt du Tribunal fédéral K 124/03 du 16 juin 2004, consid. 5.2). b) En l'espèce, les statistiques de Santésuisse concernant les années 2004 à 2006 ont été portées à la connaissance des demanderesses au plus tôt respectivement le 28 juillet 2005, le 3 juillet 2006 et le 23 juillet 2007, dates qui correspondent à celles de la préparation des données figurant sur ces statistiques. Il convient à cet égard de préciser que le Tribunal fédéral a récemment jugé qu'il n'était pas arbitraire de se fonder sur ces dates, en l'absence de pièces permettant d'envisager la publication antérieure desdites statistiques. Il ne suffit notamment pas d'émettre des suppositions ou des hypothèses, selon lesquelles ces statistiques étaient connues des assureurs à une date antérieure (arrêt du Tribunal fédéral 9C_205/2008 du 19 décembre 2008, consid. 2.2) Dans la mesure où les demandes ont été déposées respectivement le 28 juillet 2006, le 2 juillet 2007 et le 23 juillet 2008, il sied de constater qu'elles respectent le délai légal d'une année.</w:t>
      </w:r>
    </w:p>
    <w:p>
      <w:r>
        <w:rPr>
          <w:b/>
        </w:rPr>
        <w:t>E. 4</w:t>
      </w:r>
    </w:p>
    <w:p>
      <w:r>
        <w:t>L'objet du litige est la question de savoir si la pratique du défendeur, pendant les années 2004 à 2006, est conforme au principe de l'économicité.</w:t>
      </w:r>
    </w:p>
    <w:p>
      <w:r>
        <w:rPr>
          <w:b/>
        </w:rPr>
        <w:t>E. 5</w:t>
      </w:r>
    </w:p>
    <w:p>
      <w:r>
        <w:t>Aux termes de l’art. 56 al. 1 et 2 LAMal, le fournisseur de prestations doit limiter ses prestations à la mesure exigée par l’intérêt de l’assuré et le but du traitement. La rémunération des prestations qui dépasse cette limite peut être refusée et le</w:t>
      </w:r>
    </w:p>
    <w:p>
      <w:r>
        <w:t>A/2801/2006 - 16/23 - fournisseur de prestations peut être tenu de restituer les sommes reçues à tort au sens de cette loi.</w:t>
      </w:r>
    </w:p>
    <w:p>
      <w:r>
        <w:rPr>
          <w:b/>
        </w:rPr>
        <w:t>E. 6</w:t>
      </w:r>
    </w:p>
    <w:p>
      <w:r>
        <w:t>Selon l’art. 56 al. 2 let. b LAMal ont qualité pour demander la restitution les assureurs dans le système du tiers-payant. Selon la jurisprudence en la matière, il s’agit de l’assureur qui a effectivement pris en charge la facture. Par ailleurs, les assureurs, représentés le cas échéant par leur fédération, sont habilités à introduire une action collective à l’encontre du fournisseur de prestations, sans spécifier pour chaque assureur les montants remboursés (ATF 127 V 286 consid. 5d). Néanmoins, la prétention en remboursement appartient à chaque assureur-maladie, raison pour laquelle il doit être mentionné dans la demande, ainsi que dans l’arrêt (RAMA 2003, p. 221). Lorsqu’un groupe d’assureurs introduit une demande collective, il ne peut dès lors réclamer que le montant que les membres de ce groupe ont payé. Il n'est pas habilité d'exiger le remboursement d’un montant que d’autres assureurs, lesquels ne sont pas représentés par ce groupe, ont pris en charge.</w:t>
      </w:r>
    </w:p>
    <w:p>
      <w:r>
        <w:rPr>
          <w:b/>
        </w:rPr>
        <w:t>E. 7</w:t>
      </w:r>
    </w:p>
    <w:p>
      <w:r>
        <w:t>En l’espèce, le défendeur n'a pas contesté que les demanderesses, parties aux trois demandes, ont remboursé des factures qu'il a adressées à ses patients en 2004, 2005 et 2006. Dans le cas contraire, il lui aurait appartenu de désigner les demanderesses dont cela n'aurait pas été le cas et/ou d'informer le Tribunal de céans que d'autres assureurs-maladie, ne faisant pas partie des demanderesses, ont également remboursé des prestations pendant les années en cause, en précisant lesquels. Partant, la qualité pour agir des demanderesses doit être admise pour demander la restitution de la totalité de l'éventuel montant facturé en trop par le défendeur.</w:t>
      </w:r>
    </w:p>
    <w:p>
      <w:r>
        <w:rPr>
          <w:b/>
        </w:rPr>
        <w:t>E. 8</w:t>
      </w:r>
    </w:p>
    <w:p>
      <w:r>
        <w:t>a) Pour établir l’existence d’une polypragmasie, le Tribunal fédéral des assurances admet le recours à trois méthodes : la méthode statistique, la méthode analytique ou une combinaison des deux méthodes (consid. 6.1 non publié de l’ATF 130 V 377, ATF 119 V 453 consid. 4). Les tribunaux arbitraux sont en principe libres de choisir la méthode d’examen. Toutefois, la préférence doit être donnée à la méthode statistique par rapport à la méthode analytique, qui en règle générale est appliquée seulement lorsque des données fiables pour une comparaison des coûts moyens font défaut (consid. 6.1 non publié de l’ATF 130 V 377, ATF 98 V 198). b) La méthode statistique consiste à comparer la statistique des frais moyens de traitement auprès du médecin en cause avec celle concernant les traitements auprès d’autres médecins travaillant dans des conditions semblables, à condition que la comparaison s’étende sur une période assez longue et que les éléments statistiques soient rassemblés d’une manière analogue. Une polypragmasie doit être admise lorsqu’un nombre considérable de notes d’honoraires émises par un médecin à une caisse-maladie est en moyenne sensiblement plus élevé que celles d’autres médecins pratiquant dans une région et avec une clientèle semblable, alors</w:t>
      </w:r>
    </w:p>
    <w:p>
      <w:r>
        <w:t>A/2801/2006 - 17/23 - qu’aucune circonstance particulière le justifie (ATF 119 V 453 consid. 4b). Il y a toutefois lieu de tenir systématiquement compte d’une marge de tolérance (ATF 119 V 454 consid. 4c in fine), ainsi que le cas échéant d’une marge supplémentaire (RAMA 1988 K 761, p. 92 consid. 4c ; SVR 2001 KV n° 19, p. 52 consid. 4b). La marge de tolérance ne doit pas dépasser l’indice de 130, afin de ne pas vider la méthode statistique de son sens et doit se situer entre les indices de 120 et de 130 (consid. 6.1 non publié de l’ATF 130 V 377). c) Selon la jurisprudence récente du Tribunal fédéral des assurances, il convient de prendre en considération pour l’examen de l’économicité l’indice de l’ensemble des coûts, à savoir aussi bien des coûts de traitement directs que de traitements indirects (coût des médicaments et autres coûts médicaux occasionnés par le médecin auprès d’autres fournisseurs de prestations), lorsque l'indice de l’ensemble des coûts est inférieur aux coûts directs (ATF 133 V 39 ss consid. 5.3.2 à 5.3.5). Cependant, cet indice est à appliquer aux seuls coûts directs du médecin incriminé et cette nouvelle jurisprudence ne signifie donc pas que les assureurs-maladie sont désormais également autorisés à lui réclamer le remboursement de la part des coûts indirects qui dépassent les 130% de la moyenne des coûts totaux, selon les statistiques.</w:t>
      </w:r>
    </w:p>
    <w:p>
      <w:r>
        <w:rPr>
          <w:b/>
        </w:rPr>
        <w:t>E. 9</w:t>
      </w:r>
    </w:p>
    <w:p>
      <w:r>
        <w:t>En l’occurrence, le défendeur conteste l’utilisation des statistiques de Santésuisse en ce qui le concerne. a) En premier lieu, il met en cause leur fiabilité. La valeur probante des statistiques établies par Santésuisse a été cependant expressément reconnue par la jurisprudence en la matière. Notre Haute Cour a ainsi jugé que seules les statistiques RSS fournissaient les données qui permettaient une comparaison valable entre les différents fournisseurs de prestations et ainsi de se prononcer sur le respect ou la violation du principe de l'économicité (arrêt du Tribunal fédéral K 150/03 du 18 mai 2004, consid. 6.4.2). De surcroît, la jurisprudence a développé des moyens pour compenser les défauts des statistiques RSS (arrêt du Tribunal fédéral K 150/03 du 18 mai 2004, consid. 6.4.1). Encore récemment, le Tribunal fédéral a précisé que la méthode statistique repose sur des bases de données répondant aux exigences fixées de longue date par sa jurisprudence et que son utilisation n'a jamais été remise en cause (arrêt du Tribunal fédéral 9C_205/2008 du 9 décembre 2008, consid.3.2 et les références citées). b) Quant au fait que les chiffres de ces statistiques ne coïncideraient in casu pas avec les chiffres réels du cabinet du défendeur pour les années litigieuses, en ce qui concerne le nombre de ses patients, il est a relever que cette différence ne constitue pas un indice pour une erreur dans les statistiques, dès lors que celles-ci ne sont pas établies sur la base du nombre des patients qui ont consulté le médecin pendant l'année considérée, mais sur la base des factures remboursées par les assurances aux patients durant cette période. Il convient ainsi de considérer qu'il est dans la logique des choses que le nombre des patients soit inférieur aux chiffres ressortant de la</w:t>
      </w:r>
    </w:p>
    <w:p>
      <w:r>
        <w:t>A/2801/2006 - 18/23 - comptabilité du cabinet, dans la mesure où certaines factures ne parviennent pas à l’assurance, notamment lorsque leur montant est inférieur à la franchise contractée. Ce raisonnement n'a pas été considéré comme arbitraire par notre Haute Cour, sauf à considérer que tous les patients aient contracté une franchise basse, souffert d'un trouble suffisamment grave pour générer un traitement dont le coût dépassait systématiquement la franchise et transmis toutes leurs factures à leur assureur- maladie (arrêt du Tribunal fédéral op.cit. consid. 4.3.2). La réalisation de cette dernière hypothèse ne peut cependant pas être établie, à défaut de pièces déposées à son appui par le défendeur. Partant, rien ne s’oppose en principe à l'utilisation des statistiques RSS dans le cas présent.</w:t>
      </w:r>
    </w:p>
    <w:p>
      <w:r>
        <w:rPr>
          <w:b/>
        </w:rPr>
        <w:t>E. 10</w:t>
      </w:r>
    </w:p>
    <w:p>
      <w:r>
        <w:t>En ce qui concerne la demande du défendeur de connaître la liste nominative des médecins du groupe 53 avec lequel il a été comparé, au motif qu'une procédure parallèle aurait démontré que des médecins figurant dans les statistiques de Santésuisse étaient décédés ou à la retraite, le Tribunal fédéral a jugé que l'apparition possible dans les statistiques de Santésuisse de données provenant de médecins décédés ou à la retraite n'était de loin pas choquante, dès lors que les statistiques intégraient celles de tous les médecins qui s'étaient occupés de plus de 50 patients et avaient facturé des coûts totaux pour plus de 100'000 fr. durant l'année examinée. Par ailleurs, il n'était pas exigé par la jurisprudence de connaître l'identité des médecins composant le groupe de comparaison (arrêt du Tribunal fédéral op.cit. consid. 4.2.2).</w:t>
      </w:r>
    </w:p>
    <w:p>
      <w:r>
        <w:rPr>
          <w:b/>
        </w:rPr>
        <w:t>E. 11</w:t>
      </w:r>
    </w:p>
    <w:p>
      <w:r>
        <w:t>Se pose cependant la question de savoir si des particularités dans la pratique du défendeur justifient un coût moyen plus élevé. a) Selon la jurisprudence, les particularités suivantes liées à la pratique médicale du médecin peuvent justifier un coût moyen plus élevé: une clientèle composée d’un nombre plus élevé que la moyenne des patients nécessitant souvent des soins médicaux (RAMA 1986 p. 4 consid. 4c), un nombre plus élevé de la moyenne de visites à domicile et une très grande région couverte par le cabinet (SVR 1995 p. 125 consid. 4b), un pourcentage très élevé de patients étrangers (RAMA 1986 p. 4 consid. 4c), une clientèle composée d’un nombre plus élevé de patients consultant le praticien depuis de nombreuses années et étant âgés (arrêt du Tribunal fédéral K 152/98 du 18 octobre 1999) ou le fait que le médecin s’est installé depuis peu de temps à titre indépendant (réf. citée dans l’arrêt du Tribunal fédéral K 150/03 du 18 mai 2004,). b) Le défendeur allègue essentiellement qu'il soigne beaucoup de patients pour des dépressions. Ces patients représenteraient 60% de sa patientèle. Le défendeur fait également valoir qu'il traite beaucoup de maladies chroniques, des lésions cutanées chroniques, des œdèmes pulmonaires, des maladies rhumatismales chroniques, des</w:t>
      </w:r>
    </w:p>
    <w:p>
      <w:r>
        <w:t>A/2801/2006 - 19/23 - diabétiques, des troubles pulmonaires, des traumatismes divers, des examens ORL et ophtalmologiques. Cependant, à l'appui de ses dires, il n'avance aucun élément concret. Tout au contraire, invité à fournir un échantillonnage précis de sa clientèle, il l'a toujours refusé. Le Tribunal de céans s'étonne par ailleurs qu'il conclut dans le cadre de la troisième demande à ce qu'une expertise d'un échantillonnage de dossiers de ses patients soit ordonnée, alors qu'il a précédemment affirmé qu'un échantillonnage n'aurait aucun sens et que seule la classification de la totalité de ses patients pourrait être pertinente (cf. mémoire-réponse du 14 novembre 2006, ad 24, p. 8). Or, selon la jurisprudence, le médecin faisant l'objet d'une procédure en remboursement en raison d'une polypragmasie, doit établir par des exemples concrets pourquoi une certaine catégorie de ses malades engendrerait un surcoût. Il ne suffit pas de l'affirmer, de requérir l'intervention d'un expert ou de produire une liste de patients. Il appartient au contraire au médecin de rendre vraisemblable que sa pratique diffère fondamentalement de celle des autres médecins composant son groupe (cf. arrêt du Tribunal fédéral op.cit. consid. 4.6.2 et 4.7.3). Le défendeur ayant omis de collaborer pour l'établissement des particularités de sa pratique, il ne peut être admis qu'il soigne des pathologies justifiant l'application d'un indice supérieur à 130 %, celui-ci tenant déjà compte de la différence de pratique d'un cabinet à l'autre. En l'absences d'éléments concrets, rendus vraisemblables par le défendeur et permettant de douter que sa pratique soit comparable à celle de ses confrères du même groupe de comparaison, il ne se justifie en outre pas, de l'avis du Tribunal de céans, d'ordonner une expertise judiciaire pour faire examiner sa pratique médicale par la méthode analytique.</w:t>
      </w:r>
    </w:p>
    <w:p>
      <w:r>
        <w:rPr>
          <w:b/>
        </w:rPr>
        <w:t>E. 12</w:t>
      </w:r>
    </w:p>
    <w:p>
      <w:r>
        <w:t>En ce qui concerne les factures non encaissées, il ne peut en être tenu compte dans le cadre des procédures de restitution fondées sur une polypragmasie, seuls les montants facturés par le médecin aux assurés étant déterminants (EUGSTER, Wirtschaftlichkeitskontrolle ambulanter ärztlicher Leistungen mit statistischen Methoden, 2003, p. 285 n. 842). Par ailleurs, le fait qu'une facture soit impayée ne signifie pas automatiquement que le médecin ne pourra jamais l'encaisser. Tant qu'elle n'est pas enregistrée comme une perte sur débiteurs, elle constitue une source de revenu sous forme d'une créance, indépendamment du fait que l'assureur- maladie a dû rembourser la facture à son assuré. Enfin, le défendeur n'a pas établi quel pourcentage de son chiffre d'affaires du cabinet, selon sa comptabilité, représentent les factures impayées pour les années 2004 à 2006.</w:t>
      </w:r>
    </w:p>
    <w:p>
      <w:r>
        <w:rPr>
          <w:b/>
        </w:rPr>
        <w:t>E. 13</w:t>
      </w:r>
    </w:p>
    <w:p>
      <w:r>
        <w:t>Il résulte en l’espèce des statistiques RSS relatives à l’année 2004 que l'indice total des coûts directs et indirects par malade du défendeur était de 190 par rapport à la moyenne de 100. Comme relevé ci-dessus, c’est cet indice qu’il convient de</w:t>
      </w:r>
    </w:p>
    <w:p>
      <w:r>
        <w:t>A/2801/2006 - 20/23 - prendre en considération pour la détermination des sommes facturées en trop en violation du respect du principe de l’économicité, dans la mesure où il est plus favorable que l'indice des seuls coûts directs par patient qui était de 208 en 2004. Ainsi, il y a lieu de déterminer, pour ce calcul, le coût par malade du défendeur à 190 % de la moyenne des seuls coûts directs par malade du groupe de comparaison, laquelle était de 468 fr. 70 fr. Le calcul de la polypragmasie s’établit ainsi de la façon suivante :</w:t>
      </w:r>
    </w:p>
    <w:p>
      <w:r>
        <w:t>Moyenne des coûts par malade du groupe de comparaison (indice 100) Fr. 468,70 Coût par malade du défendeur (indice 190) Fr. 871,50 Nombre de malades du défendeur: 446 Facturation par rapport au coût moyen : 446 x 468,70 Fr. 209'040,20 30 % pour prendre en compte les spécificités du cabinet</w:t>
      </w:r>
    </w:p>
    <w:p>
      <w:r>
        <w:t>Fr. 62'712,- Total admis</w:t>
      </w:r>
    </w:p>
    <w:p>
      <w:r>
        <w:t>Fr. 271'752,20 Chiffre d’affaires du défendeur sur la base d’un indice de 190 (446 x 871,50)</w:t>
      </w:r>
    </w:p>
    <w:p>
      <w:r>
        <w:t>Fr. 388'689,- Différence</w:t>
      </w:r>
    </w:p>
    <w:p>
      <w:r>
        <w:t>Fr. 116'936,80</w:t>
      </w:r>
    </w:p>
    <w:p>
      <w:r>
        <w:rPr>
          <w:b/>
        </w:rPr>
        <w:t>E. 14</w:t>
      </w:r>
    </w:p>
    <w:p>
      <w:r>
        <w:t>Des statistiques de l'année 2005 résulte que le défendeur a un indice de 166 en ce qui concerne les coûts totaux. Dès lors que son indice des coûts directs était supérieur (184), il y a lieu à nouveau de prendre en considération l'indice des coûts totaux. Le coût par malade du défendeur doit ainsi être établi, pour ce calcul, à 166% de la moyenne des seuls coûts directs par malade du groupe de comparaison, laquelle était de 514 fr. 60 en 2005. Le calcul de la polypragmasie se présente ainsi comme suit:</w:t>
      </w:r>
    </w:p>
    <w:p>
      <w:r>
        <w:t>Moyenne des coûts par malade du groupe de comparaison (indice 100) Fr. 514,60 Coût par malade du défendeur (indice 166) Fr. 854,20 Nombre de malades du défendeur: 457 Facturation par rapport au coût moyen : 457 x 514,60 Fr. 235'172,20</w:t>
      </w:r>
    </w:p>
    <w:p>
      <w:r>
        <w:t>A/2801/2006 - 21/23 - 30 % pour prendre en compte les spécificités du cabinet</w:t>
      </w:r>
    </w:p>
    <w:p>
      <w:r>
        <w:t>Fr. 70'751,70 Total admis</w:t>
      </w:r>
    </w:p>
    <w:p>
      <w:r>
        <w:t>Fr. 305'723,90 Chiffre d’affaires du défendeur sur la base d’un indice de 166 (457 x 854,20)</w:t>
      </w:r>
    </w:p>
    <w:p>
      <w:r>
        <w:t>Fr. 390'369,40 Différence</w:t>
      </w:r>
    </w:p>
    <w:p>
      <w:r>
        <w:t>Fr. 84'645,50</w:t>
      </w:r>
    </w:p>
    <w:p>
      <w:r>
        <w:rPr>
          <w:b/>
        </w:rPr>
        <w:t>E. 15</w:t>
      </w:r>
    </w:p>
    <w:p>
      <w:r>
        <w:t>Pour 2006, Santésuisse a pris en considération l'indice des coût totaux ANOVA de 208. Selon les statistiques RSS, l'indice des coûts totaux par malade du défendeur étaient de 189. Dans la mesure où il faut admettre que les statistiques constituent certes un instrument valable pour procéder à la comparaison des médecins avec les confrères de leur groupe, mais où elles ne peuvent néanmoins pas prendre en considération la totalité des différences d'un médecin à l'autre, le Tribunal de céans est de l'avis qu'il y a lieu d'appliquer l'indice le plus favorable des statistiques ANOVA et RSS. Il résulte par ailleurs des statistiques RSS de 2006 que l'indice des coûts directs du défendeur était moins élevé que celui des coûts totaux. Il était en effet de 177. Au vu de ce qui a été exposé ci-dessus, il y a dès lors lieu de prendre en compte cet indice, et non pas celui des coûts totaux. Quant à la moyenne des coûts par malade du groupe de comparaison 2006, il sied de se fonder également sur les statistiques RSS, l'indice en résultant étant plus favorable. Dans la mesure où le total des coûts directs par malade du défendeur était de 930 fr. 50 et qu'il avait un indice de 177, la moyenne des coûts par malade du groupe s'établit à 525 fr. 70 (930,50 : 177 x 100). Ainsi, le calcul de polypragmasie s'établit comme suit:</w:t>
      </w:r>
    </w:p>
    <w:p>
      <w:r>
        <w:t>Moyenne des coûts par malade du groupe de comparaison (indice 100) Fr. 525,70 Coût par malade du défendeur (indice 177) Fr. 930,50 Nombre de malades du défendeur: 392 Facturation par rapport au coût moyen : 392 x 525,70 Fr. 206'074,40 30 % pour prendre en compte les spécificités du cabinet</w:t>
      </w:r>
    </w:p>
    <w:p>
      <w:r>
        <w:t>Fr. 61'822,30 Total admis</w:t>
      </w:r>
    </w:p>
    <w:p>
      <w:r>
        <w:t>Fr. 267'896,70</w:t>
      </w:r>
    </w:p>
    <w:p>
      <w:r>
        <w:t>A/2801/2006 - 22/23 - Chiffre d’affaires du défendeur sur la base d’un indice de 177 (392 x 930,50)</w:t>
      </w:r>
    </w:p>
    <w:p>
      <w:r>
        <w:t>Fr. 364'756,- Différence</w:t>
      </w:r>
    </w:p>
    <w:p>
      <w:r>
        <w:t>Fr. 96'859,30</w:t>
      </w:r>
    </w:p>
    <w:p>
      <w:r>
        <w:rPr>
          <w:b/>
        </w:rPr>
        <w:t>E. 16</w:t>
      </w:r>
    </w:p>
    <w:p>
      <w:r>
        <w:t>L'addition des différences relatives aux années 2004 à 2006 donne un total de 298'441 fr. 60. Le défendeur sera ainsi condamné au paiement de cette somme, arrondie au chiffre entier inférieur.</w:t>
      </w:r>
    </w:p>
    <w:p>
      <w:r>
        <w:rPr>
          <w:b/>
        </w:rPr>
        <w:t>E. 17</w:t>
      </w:r>
    </w:p>
    <w:p>
      <w:r>
        <w:t>Cela étant, la demande sera partiellement admise.</w:t>
      </w:r>
    </w:p>
    <w:p>
      <w:r>
        <w:rPr>
          <w:b/>
        </w:rPr>
        <w:t>E. 18</w:t>
      </w:r>
    </w:p>
    <w:p>
      <w:r>
        <w:t>La procédure par-devant le Tribunal arbitral n'est pas gratuite (cf. art. 46 LaLAMal). Les frais du Tribunal, par 3'947 fr. 50 et un émolument de 300 fr., seront mis à charge des parties par moitié, les demanderesses ayant obtenu seulement moins que la moitié de la somme réclamée de 625'268 fr. De ce fait, les dépens seront en outre compensés entre les parties.</w:t>
      </w:r>
    </w:p>
    <w:p>
      <w:r>
        <w:t>A/2801/2006 - 23/23 -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