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ATAS/1245/2020 vom 21. Dezember 2020</w:t>
      </w:r>
    </w:p>
    <w:p>
      <w:r>
        <w:t>GE Cour de justice, 2020-12-21, FR</w:t>
      </w:r>
    </w:p>
    <w:p>
      <w:r>
        <w:rPr>
          <w:b/>
        </w:rPr>
        <w:t xml:space="preserve">Quelle: </w:t>
      </w:r>
      <w:r>
        <w:t>https://mcp.opencaselaw.ch/entscheid/ge_gerichte_ATAS_1245_2020</w:t>
      </w:r>
    </w:p>
    <w:p>
      <w:r>
        <w:t>FR: GE_GERICHTE ATAS/1245/2020 du 21 décembre 2020</w:t>
      </w:r>
    </w:p>
    <w:p>
      <w:r>
        <w:t>IT: GE_GERICHTE ATAS/1245/2020 del 21 dicembre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recours, interjeté dans les forme et délai prévus par la loi, est recevable (art. 56 à 60 LPGA).</w:t>
      </w:r>
    </w:p>
    <w:p>
      <w:r>
        <w:rPr>
          <w:b/>
        </w:rPr>
        <w:t>E. 3</w:t>
      </w:r>
    </w:p>
    <w:p>
      <w:r>
        <w:t>Le litige porte sur le droit de la recourante à des mesures d’ordre professionnel et à une rente d’invalidité.</w:t>
      </w:r>
    </w:p>
    <w:p>
      <w:r>
        <w:rPr>
          <w:b/>
        </w:rPr>
        <w:t>E. 4</w:t>
      </w:r>
    </w:p>
    <w:p>
      <w:r>
        <w:t>Aux termes de l’art. 8 al. 1er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L'invalidité est une notion économique et non médicale, et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501/04 du 13 décembre 2005 consid. 7.2).</w:t>
      </w:r>
    </w:p>
    <w:p>
      <w:r>
        <w:rPr>
          <w:b/>
        </w:rPr>
        <w:t>E. 5</w:t>
      </w:r>
    </w:p>
    <w:p>
      <w:r>
        <w:t>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w:t>
      </w:r>
    </w:p>
    <w:p>
      <w:r>
        <w:t>A/4178/2018 - 14/22 - Lors de la fixation de ces mesures, il est tenu compte de la durée probable de la vie professionnelle restante. L’art. 8 al. 3 let. b LAI dispose que les mesures de réadaptation comprennent notamment des mesures de réinsertion préparant à la réadaptation professionnelle et les mesures d’ordre professionnel, lesquelles englobent l’orientation professionnelle, la formation professionnelle initiale, le reclassement, le placement et l’aide en capital. L’art. 14a LAI précise que l’assuré qui présente depuis six mois au moins une incapacité de travail (art. 6 LPGA) de 50 % au moins a droit à des mesures de réinsertion préparant à la réadaptation professionnelle (mesures de réinsertion), pour autant que celles-ci servent à créer les conditions permettant la mise en œuvre de mesures d’ordre professionnel (al. 1). Sont considérées comme mesures de réinsertion les mesures ciblées ci-après qui visent la réadaptation professionnelle les mesures socioprofessionnelles (let. a); et les mesures d’occupation (let. b) (al. 2). L’art. 15 LAI dispose que l’assuré auquel son invalidité rend difficile le choix d’une profession ou l’exercice de son activité antérieure a droit à l’orientation professionnelle.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De plus, il faut que l'invalidité soit d'une certaine gravité pour que le droit à des mesures de réadaptation soit ouvert. La jurisprudence a ainsi fixé le seuil d'invalidité à partir duquel des mesures de réadaptation doivent être octroyées à 20 % (ATF 130 V 488 consid. 4.2, ATF 124 V 108 consid. 3a).</w:t>
      </w:r>
    </w:p>
    <w:p>
      <w:r>
        <w:rPr>
          <w:b/>
        </w:rPr>
        <w:t>E. 6</w:t>
      </w:r>
    </w:p>
    <w:p>
      <w:r>
        <w:t>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au terme de cette année, il est invalide (art. 8 LPGA) à 40 % au moins (let. c). L’art. 28 al. 2 LAI dispose que l’assuré a droit à une rente entière s’il est invalide à 70 % au moins, à trois quarts de rente s’il est invalide à 60 % au moins, à une demi-rente s’il est invalide à 50 % au moins ou à un quart de rente s’il est invalide à 40 % au moins.</w:t>
      </w:r>
    </w:p>
    <w:p>
      <w:r>
        <w:rPr>
          <w:b/>
        </w:rPr>
        <w:t>E. 7</w:t>
      </w:r>
    </w:p>
    <w:p>
      <w:r>
        <w:t>Pour pouvoir calculer le degré d'invalidité, l'administration ou l'instance de recours a besoin de documents que le médecin ou d'autres spécialistes doivent lui fournir.</w:t>
      </w:r>
    </w:p>
    <w:p>
      <w:r>
        <w:t>A/4178/2018 - 15/22 -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w:t>
      </w:r>
    </w:p>
    <w:p>
      <w:r>
        <w:t>A/4178/2018 - 16/22 - pour remettre en cause les conclusions de l'expert (arrêt du Tribunal fédéral 9C_405/2008 du 29 septembre 2008 consid. 3.2).</w:t>
      </w:r>
    </w:p>
    <w:p>
      <w:r>
        <w:rPr>
          <w:b/>
        </w:rPr>
        <w:t>E. 8</w:t>
      </w:r>
    </w:p>
    <w:p>
      <w:r>
        <w:t>Dans un arrêt relativement récent concernant les troubles somatoformes douloureux (ATF 141 V 281), le Tribunal fédéral a retenu que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Il y a désormais lieu de se fonder sur une grille d’analyse comportant divers indicateurs qui rassemblent les éléments essentiels propres aux troubles de nature psychosomatique (consid. 3.6). Ces indicateurs concernent deux catégories, à savoir celle du degré de gravité fonctionnelle et celle de la cohérence.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 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w:t>
      </w:r>
    </w:p>
    <w:p>
      <w:r>
        <w:t>A/4178/2018 - 17/22 -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(consid. 4.3.1.3). Un trouble qui, selon la jurisprudence, ne peut pas être invalidant en tant que tel (arrêt du Tribunal fédéral 9C_98/2010 du 28 avril 2010 consid. 2.2.2) n’est pas une comorbidité (arrêt du Tribunal fédéral 9C_1040/2010 du 6 juin 2011 consid. 3.4.2.1) mais doit à la rigueur être pris en considération dans le cadre du diagnostic de la personnalité.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w:t>
      </w:r>
    </w:p>
    <w:p>
      <w:r>
        <w:t>A/4178/2018 - 18/22 - Il s’agit ici de se demander si l’atteinte à la santé limite l’assuré de manière semblable dans son activité professionnelle ou dans l’exécution de ses travaux habituels et dans les autres activités (par exemple ses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(ATF 137 V 64 consid. 1.2 in fine).</w:t>
      </w:r>
    </w:p>
    <w:p>
      <w:r>
        <w:rPr>
          <w:b/>
        </w:rPr>
        <w:t>E. 9</w:t>
      </w:r>
    </w:p>
    <w:p>
      <w:r>
        <w:t>Dans un arrêt de 2017, le Tribunal fédéral a étendu la jurisprudence précitée à toutes les maladies psychiques (ATF 143 V 409 consid. 4.5). Il convient encore de préciser que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elle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w:t>
      </w:r>
    </w:p>
    <w:p>
      <w:r>
        <w:rPr>
          <w:b/>
        </w:rPr>
        <w:t>E. 10</w:t>
      </w:r>
    </w:p>
    <w:p>
      <w:r>
        <w:t>Dans un arrêt de principe rendu en matière d’assurance-invalidité, le Tribunal fédéral a établi des exigences accrues en matière de participation des assurés lorsqu’une assurance sociale diligente une expertise, eu égard à leur droit d’être entendus. Ces exigences comprennent le droit de se prononcer sur le choix de l'expert, de connaître les questions qui lui seront posées, et d'en formuler d'autres (ATF 137 V 210 consid. 3.2.4.6 et 3.2.4.9).</w:t>
      </w:r>
    </w:p>
    <w:p>
      <w:r>
        <w:t>A/4178/2018 - 19/22 - On soulignera du reste que ces exigences ressortent également des art. 57 ss de la loi fédérale de procédure civile fédérale du 4 décembre 1947 (PCF - RS 273), applicables par analogie à la procédure administrative (Marco WEISS, Die Mitwirkungsrechte der Bundeszivilprozessordnung im Sozialversicherungsrecht : aktuelle Entwicklungen in der bundesgerichtlichen Rechtsprechung in AJP 2016 p. 1214). Le fait pour une assurance de ne pas permettre à un assuré d’exercer les prérogatives résultant de son droit d’être entendu, soit en particulier celle de se prononcer sur la nomination de l'expert, sur les questions à poser, ainsi que sur le résultat de l'expertise, relève d’une grave violation de ce droit (arrêt du Tribunal fédéral des assurances U 22/03 du 10 juillet 2003 consid. 4). Ce vice ne peut être réparé lorsque l'expertise constitue l'élément central et prépondérant de l'instruction (RAMA 2000 n° U 369 p. 104 consid. 2b ; arrêt du Tribunal fédéral des assurances U 265/04 du 23 septembre 2005 consid. 2.3).</w:t>
      </w:r>
    </w:p>
    <w:p>
      <w:r>
        <w:rPr>
          <w:b/>
        </w:rPr>
        <w:t>E. 11</w:t>
      </w:r>
    </w:p>
    <w:p>
      <w:r>
        <w:t>Il convient d’analyser si le rapport du Dr E______ satisfait aux exigences dégagées par la jurisprudence. Si ce rapport contient au plan formel tous les éléments qui doivent figurer dans une expertise, puisqu’il décrit l’anamnèse, rapporte les plaintes de la recourante et résume le dossier médical, mentionne les constatations de l’expert et les diagnostics, sur le fond, on peine à comprendre sur quels éléments le Dr E______ se fonde pour retenir certaines atteintes. Il a en effet admis un trouble hyperactif avec déficit d'attention chez l'adulte, existant depuis l'enfance selon l'anamnèse. Or, il n’existe aucun élément décrit dans l’anamnèse étayant un tel diagnostic, pas plus que dans les éléments objectifs observés. Le résultat de l’examen neurocognitif ne semble pas non plus conclure - à tout le moins expressément - à un trouble de cette nature. En outre, il est surprenant au vu de ce diagnostic qu’aucune limitation fonctionnelle n’ait été retenue à ce titre, le rapport d’expertise ne contenant aucune justification sur ce point et se contentant de qualifier ce trouble d’« épiphénomène ». Cette lacune est d’autant plus problématique que des difficultés cognitives ont par la suite été confirmées par l’examen neuro- psychologique réalisé par Mme I______, qui a également souligné leur impact sur les possibilités d’insertion professionnelle de la recourante. Ce seul élément suffit à nier la valeur probante de l’expertise. On soulignera en outre que ce rapport est insuffisamment étayé sur plusieurs autres points. Le diagnostic de trouble de la personnalité émotionnellement labile est en effet précédé d’une description des critères diagnostiques qui le fondent, sans que l’expert n’expose en quoi ils sont réalisés dans le cas d’espèce. Le Dr E______ ne se prononce pas non plus sur l’évolution des troubles de la recourante dans le temps, et ne donne aucune explication sur le fait que son appréciation de leur incidence diffère très sensiblement de celle des précédents psychiatre et psychologue de la recourante auprès du Centre C______. Par ailleurs, si le Dr E______ a certes pris connaissance de l’ensemble du dossier mis à sa</w:t>
      </w:r>
    </w:p>
    <w:p>
      <w:r>
        <w:t>A/4178/2018 - 20/22 - disposition par l’intimé, et que les modalités de l’examen clinique et le choix des examens complémentaires sont en principe laissés à l’appréciation de l’expert (arrêt du Tribunal fédéral 9C_538/2009 du 8 janvier 2010 consid. 3.3), on peut néanmoins se demander au vu du dossier médicalement peu étoffé si le Dr E______ était en mesure de se prononcer de manière fiable sur ces points sans solliciter d’autres renseignements dans le cas d’espèce. À ce sujet, l’entretien téléphonique avec la Dresse G______ n’est pas suffisant, puisqu’on en ignore la teneur, ni dans quelle mesure l’expert en a tenu compte dans son appréciation. En ce qui concerne les conclusions de l’expertise quant à l’absence de limitations fonctionnelles, elles appellent les commentaires suivants. L’évaluation du Dr E______ s’agissant de l’incidence des attaques de panique ne prête en soi pas flanc à la critique, eu égard aux indications que la recourante lui a données sur leur fréquence. Il semble cependant que la fréquence de ces crises a très clairement augmenté depuis l’établissement de son rapport, de sorte que sa conclusion sur ce point pourrait être dépassée. Par ailleurs, l’expert psychiatre a admis l’existence d’une agoraphobie, sans toutefois n’en inférer aucune limitation fonctionnelle. Or, la recourante a exposé qu’en raison de cette atteinte, elle ne peut emprunter les transports publics ou sortir seule, hormis à l’occasion de quelques exercices d’exposition dans un périmètre réduit autour de son domicile. Plusieurs intervenants ont également rapporté cette difficulté. En outre, le Dr E______ a qualifié les troubles de peu graves en référence à la description de ses journées. Cependant, il semble que la recourante passe l’essentiel de ses journées confinée dans sa caravane, et qu’elle n’en sort guère sans être accompagnée de sa sœur. Partant, cette appréciation apparaît peu convaincante. À ce sujet, la chambre de céans relève que la recourante ne conteste pas qu’elle est à même d’assumer la plupart de ses tâches ménagères - à l’exception des courses, qu’elle accomplit accompagnée. Toutefois, l’intimé n’a pas retenu de statut de ménagère et il y aurait ainsi eu lieu d’analyser l’incidence de ses troubles non pas en fonction de son aptitude à mener à bien ses activités quotidiennes, au demeurant très limitées par ses troubles, mais dans une activité professionnelle. On s’étonne en outre que l’expert ait exclu toute répercussion du trouble de la personnalité sur l’aptitude de la recourante à exercer une activité professionnelle, alors qu’il soutient simultanément que ce trouble compromet ses chances de réinsertion. Enfin, au vu des déclarations de la recourante sur la fréquence de ses attaques de panique, corroborées par le rapport de la Dresse G______ du 26 septembre 2018, il semble qu’une dégradation de son trouble anxieux soit survenue depuis les entretiens d’expertise, dont il y aurait lieu d’analyser l’incidence sur sa capacité de travail puisqu’elle est survenue avant que la décision querellée ne soit rendue (arrêt du Tribunal fédéral 9C_839/2017 du 24 avril 2018 consid. 4.2).</w:t>
      </w:r>
    </w:p>
    <w:p>
      <w:r>
        <w:rPr>
          <w:b/>
        </w:rPr>
        <w:t>E. 12</w:t>
      </w:r>
    </w:p>
    <w:p>
      <w:r>
        <w:t>Au vu de ce qui précède, l’expertise ne suffit pas à trancher le droit aux prestations de la recourante. Il est ainsi inutile d’examiner les autres critiques de la recourante à</w:t>
      </w:r>
    </w:p>
    <w:p>
      <w:r>
        <w:t>A/4178/2018 - 21/22 - son sujet, en particulier s’agissant de la participation d’une psychologue à son établissement. Les rapports de la Dresse G______, qui ne satisfont pas à tous les critères jurisprudentiels en la matière, ne permettent pas non plus de déterminer la capacité de travail et de gain de la recourante. Lorsque le juge des assurances sociales constate qu'une instruction est nécessaire, il doit en principe mettre lui-même en œuvre une expertise (ATF 137 V 210 consid. 4.4.1.3 et 4.4.1.4). En l’espèce, il convient toutefois de s’écarter de ce principe, dès lors que la décision de l’intimé devrait en toute hypothèse tenir compte de l’éventuelle aggravation résultant de l’augmentation de la fréquence des attaques de panique de la recourante depuis l’établissement du rapport du Dr E______. La cause lui sera ainsi renvoyée pour nouvelle expertise et nouvelle décision. Au vu de l’issue du litige, la chambre de céans renoncera aux mesures d’instruction requises par la recourante, inutiles à ce stade de la procédure.</w:t>
      </w:r>
    </w:p>
    <w:p>
      <w:r>
        <w:rPr>
          <w:b/>
        </w:rPr>
        <w:t>E. 13</w:t>
      </w:r>
    </w:p>
    <w:p>
      <w:r>
        <w:t>Le recours est partiellement admis. La recourante a droit à des dépens, qui seront fixés à CHF 2'000.- (art. 61 let. g LPGA). La procédure en matière d’octroi de prestations de l’assurance-invalidité n’étant pas gratuite (art. 69 al. 1bis LAI), l’intimé supporte l’émolument de procédure de CHF 200.-.</w:t>
      </w:r>
    </w:p>
    <w:p>
      <w:r>
        <w:t>A/4178/2018 - 22/22 -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