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ATAS/1244/2021 vom 2. Dezember 2021</w:t>
      </w:r>
    </w:p>
    <w:p>
      <w:r>
        <w:t>GE Cour de justice, 2021-12-02, FR</w:t>
      </w:r>
    </w:p>
    <w:p>
      <w:r>
        <w:rPr>
          <w:b/>
        </w:rPr>
        <w:t xml:space="preserve">Quelle: </w:t>
      </w:r>
      <w:r>
        <w:t>https://mcp.opencaselaw.ch/entscheid/ge_gerichte_ATAS_1244_2021</w:t>
      </w:r>
    </w:p>
    <w:p>
      <w:r>
        <w:t>FR: GE_GERICHTE ATAS/1244/2021 du 2 décembre 2021</w:t>
      </w:r>
    </w:p>
    <w:p>
      <w:r>
        <w:t>IT: GE_GERICHTE ATAS/1244/2021 del 2 dicembre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2.1</w:t>
      </w:r>
    </w:p>
    <w:p>
      <w:r>
        <w:t>L’objet du litige porte sur le bien-fondé de la décision de l’intimée prononçant la mainlevée de l’opposition au commandement de payer, poursuite n° 2______, à concurrence de CHF 3'810.90.</w:t>
      </w:r>
    </w:p>
    <w:p>
      <w:r>
        <w:rPr>
          <w:b/>
        </w:rPr>
        <w:t>E. 2.2</w:t>
      </w:r>
    </w:p>
    <w:p>
      <w:r>
        <w:t>Conformément à l’art. 61 LAMal, l'assureur fixe le montant des primes à payer par ses assurés. Sauf disposition contraire de la loi, l'assureur prélève des primes égales auprès de ses assurés (al. 1). Selon l’art. 64a LAMal, lorsque l'assuré n'a pas payé des primes ou des participations aux coûts échues, l'assureur lui envoie une sommation, précédée</w:t>
      </w:r>
    </w:p>
    <w:p>
      <w:r>
        <w:t>A/1675/2021 - 5/9 -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l'assurée (al. 2).</w:t>
      </w:r>
    </w:p>
    <w:p>
      <w:r>
        <w:rPr>
          <w:b/>
        </w:rPr>
        <w:t>E. 2.3</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l’assurée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w:t>
      </w:r>
    </w:p>
    <w:p>
      <w:r>
        <w:t>A/1675/2021 - 6/9 - continuation de la poursuite sans passer par la procédure de mainlevée de l'art. 80 LP. Dans sa décision, l'autorité administrative prononcera non seulement une décision au fond selon le droit des assurances sociales sur l'obligation pécuniaire de l'assurée,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pas, en droit des assurances sociales, un principe selon lequel l’administration ou le juge devrait statuer, dans le doute, en faveur de l’assurée (ATF 126 V 322 consid. 5a).</w:t>
      </w:r>
    </w:p>
    <w:p>
      <w:r>
        <w:rPr>
          <w:b/>
        </w:rPr>
        <w:t>E. 2.5</w:t>
      </w:r>
    </w:p>
    <w:p>
      <w:r>
        <w:t>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 ATF 124 V 90 consid. 4b et 122 V 157 consid. 1d).</w:t>
      </w:r>
    </w:p>
    <w:p>
      <w:r>
        <w:rPr>
          <w:b/>
        </w:rPr>
        <w:t>E. 3.1</w:t>
      </w:r>
    </w:p>
    <w:p>
      <w:r>
        <w:t>En l’espèce, il est établi par les pièces au dossier que la poursuite en cause se rapporte au montant de la facture de la pharmacie C______, du 18 décembre 2019. La recourante ne conteste aucunement le montant de la facture, ni les frais de rappel et de sommation, ni le montant des intérêts. Elle allègue qu’en raison de la manière dont elle a été reçue par le personnel de la pharmacie F______, elle était en droit d’avoir recours à un autre prestataire, soit une pharmacie ne faisant pas partie de la liste des pharmacies agréées par Assura. L’assurée a conclu un contrat stipulant une obligation d’acheter ses médicaments auprès d’une pharmacie figurant sur la liste des pharmacies agréées, selon l’art. 22 des conditions spéciales d’assurances (ci-après : CSA). L’art. 22.3 des CSA dit que « sauf cas d’urgence établi ou de séjour à l’étranger, l’assurée s’engage à</w:t>
      </w:r>
    </w:p>
    <w:p>
      <w:r>
        <w:t>A/1675/2021 - 7/9 - acheter ses médicaments (…) auprès des officines figurant sur la liste des pharmacies agréées. (…) La liste précitée fait partie intégrante des conditions d’assurance de la catégorie modèle PharMed ». L’art. 22.5 prévoit qu’en cas de non-respect des engagements pris aux chiffres 22.2 à 22.4, l’assurée ne pourra pas faire appel aux prestations d’Assura. Cette façon de procéder est conforme à l’art. 41 al. 4 LAMal qui prévoit que l’assurée peut, en accord avec l’assureur, limiter son choix aux fournisseurs de prestations que l’assureur désigne en fonction de leurs prestations plus avantageuses. L’assureur ne prend en charge que les coûts des prestations prodiguées ou ordonnées par ses fournisseurs. Ayant souscrit à ces engagements, l’assurée ne peut demander à Assura de fournir des prestations pour des médicaments achetés dans une pharmacie ne faisant pas partie de la liste des pharmacies agréées. Ce principe souffre toutefois d’une exception, à savoir qu’en cas d’urgence établie, l’assurée est autorisée à acheter des médicaments dans une pharmacie ne faisant pas partie de la liste des pharmacies agréées par Assura. Le mandataire de l’assurée allègue que cette condition est remplie sans toutefois rendre vraisemblable le cas d’urgence, se contentant d’alléguer que la recourante a « été dans une situation d’urgence quant à l’obtention des médicaments antirétroviraux, nécessaires à sa survie ». Aucun élément du dossier ou des allégués de la recourante ne permet de conclure à une situation d’urgence. Il est admis par la chambre de céans, au degré de la vraisemblance prépondérante, que l’assurée s’est rendue dans un premier temps auprès d’une pharmacie agréée, mais qu’elle en est repartie sans ses médicaments en raison du fait qu’elle aurait été reçue de manière désagréable et discriminatoire, ce qui est confirmé par le courriel du médecin traitant de l’assurée qui a contacté la pharmacie F______. Cet élément étant admis par appréciation des preuves, il est dès lors superflu de procéder à l’audition du médecin traitant. Toutefois, rien n’empêchait l’assurée de s’adresser à une autre pharmacie faisant partie de la liste des pharmacies agréées. Selon ladite liste, la pharmacie F______ est située au boulevard H______, ce qui permettait à l’assurée de se rendre, depuis le boulevard H______, soit à la pharmacie des Banques située à la rue du Stand, soit à la Pharmanature Dancet, située à la rue Dancet ou à la pharmacie Sun Store, située dans le centre commercial MM de Plainpalais à la rue de Carouge. Ces trois pharmacies, agréées par Assura, se trouvent par ailleurs aussi proches de la pharmacie F______ que la pharmacie C______ à laquelle l’assurée s’est adressée, à savoir, selon le calcul d’itinéraire à pied établi sur Google.ch : 18 minutes de trajet pour la pharmacie C______, 20 minutes de trajet pour la pharmacie agréée de la rue du Stand, 21 minutes de trajet pour la pharmacie agréée du Centre commercial MM de Plainpalais et 22 minutes de trajet pour la pharmacie agréée de la rue Dancet.</w:t>
      </w:r>
    </w:p>
    <w:p>
      <w:r>
        <w:t>A/1675/2021 - 8/9 - Il résulte de ce qui précède que l’éloignement des pharmacies et le temps de trajet ne constituent pas des éléments d’urgence absolue justifiant le choix de l’assurée de s’être adressée à la pharmacie C______. S’agissant de l’argument de la prétendue ignorance de l’obligation de s’adresser à une pharmacie agréée, il ne peut être retenu dès lors que l’assurée avait déjà été informée, au plus tard lors de la réception du décompte du 11 décembre 2019 - refusant le remboursement d’une facture de CHF 1'298.90 provenant d’une pharmacie non agréée - du risque qu’elle prenait en continuant à acheter ses médicaments auprès de pharmacies ne faisant pas partie de la liste agréée par Assura. Il résulte de ce qui précède, que l’assurée est tenue de rembourser le montant de la facture du 18 décembre 2019 à Assura. S’agissant des frais de rappel et de sommation, ils sont prévus par les conditions générales d’assurances sous chiffre 6.3, (demeure de l’assuré), qui stipulent que ce dernier supportera les frais administratifs de rappel par CHF 10.- et de sommation par CHF 30.-. En ce qui concerne le taux d’intérêt, il correspond au taux d’intérêt moratoire de 5%.</w:t>
      </w:r>
    </w:p>
    <w:p>
      <w:r>
        <w:rPr>
          <w:b/>
        </w:rPr>
        <w:t>E. 3.2</w:t>
      </w:r>
    </w:p>
    <w:p>
      <w:r>
        <w:t>Partant, c’est à bon droit que l’intimée a prononcé la mainlevée de l’opposition de la recourante au commandement de payer, poursuite n° 2______. Le recours est donc rejeté et la mainlevée définitive sera prononcée à hauteur d’un montant de CHF 2'867.10.</w:t>
      </w:r>
    </w:p>
    <w:p>
      <w:r>
        <w:rPr>
          <w:b/>
        </w:rPr>
        <w:t>E. 3.3</w:t>
      </w:r>
    </w:p>
    <w:p>
      <w:r>
        <w:t>Pour le surplus, la procédure est gratuite.</w:t>
      </w:r>
    </w:p>
    <w:p>
      <w:r>
        <w:t>A/1675/2021 - 9/9 -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