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ATAS/1244/2014 vom 3. Dezember 2014</w:t>
      </w:r>
    </w:p>
    <w:p>
      <w:r>
        <w:t>GE Cour de justice, 2014-12-03, FR</w:t>
      </w:r>
    </w:p>
    <w:p>
      <w:r>
        <w:rPr>
          <w:b/>
        </w:rPr>
        <w:t xml:space="preserve">Quelle: </w:t>
      </w:r>
      <w:r>
        <w:t>https://mcp.opencaselaw.ch/entscheid/ge_gerichte_ATAS_1244_2014</w:t>
      </w:r>
    </w:p>
    <w:p>
      <w:r>
        <w:t>FR: GE_GERICHTE ATAS/1244/2014 du 3 décembre 2014</w:t>
      </w:r>
    </w:p>
    <w:p>
      <w:r>
        <w:t>IT: GE_GERICHTE ATAS/1244/2014 del 3 dicembre 2014</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Interjeté dans le délai et la forme prescrits par la loi, le recours est recevable (art. LAFam ; art. LAF).</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Jusqu’à l’envoi de son préavis à l’autorité de recours, l’assureur peut reconsidérer une décision ou une décision sur opposition contre laquelle un recours a été formé (art. 53 al. 3 LPGA).</w:t>
      </w:r>
    </w:p>
    <w:p>
      <w:r>
        <w:rPr>
          <w:b/>
        </w:rPr>
        <w:t>E. 4</w:t>
      </w:r>
    </w:p>
    <w:p>
      <w:r>
        <w:t>En l’espèce, l’objet du litige, à teneur de la décision querellée et des conclusions de la recourante, portent sur la restitution des allocations familiales prétendument versées à tort durant la période du 1er décembre 2012 au 28 février 2013, soit un montant de CHF 900.-. Force est de constater que l’intimée, dans sa réponse du 7 août 2014, a admis que les allocations familiales étaient dues, de sorte que par décision du 6 août 2014</w:t>
      </w:r>
    </w:p>
    <w:p>
      <w:r>
        <w:t>A/1610/2014 - 5/6 - notifiée à la recourante, elle a annulé la demande de restitution. Par conséquent, le litige n’a plus d’objet en ce qui concerne la restitution. Concernant les objections de la recourante quant à la fin du droit aux allocations familiales au 28 février 2013, l’intimée ne s’est pas prononcée. Ce point excède ainsi l’objet du présent litige et devra faire l’objet d’une décision de l’intimée. Au vu de ce qui précède, le litige doit être déclaré sans objet pour ce qui concerne la demande de restitution et renvoyée à l’intimée afin qu’elle statue sur la fin du droit aux allocations familiales au 28 février 2013.</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