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ATAS/1243/2010 vom 30. November 2010</w:t>
      </w:r>
    </w:p>
    <w:p>
      <w:r>
        <w:t>GE Cour de justice, 2010-11-30, FR</w:t>
      </w:r>
    </w:p>
    <w:p>
      <w:r>
        <w:rPr>
          <w:b/>
        </w:rPr>
        <w:t xml:space="preserve">Quelle: </w:t>
      </w:r>
      <w:r>
        <w:t>https://mcp.opencaselaw.ch/entscheid/ge_gerichte_ATAS_1243_2010</w:t>
      </w:r>
    </w:p>
    <w:p>
      <w:r>
        <w:t>FR: GE_GERICHTE ATAS/1243/2010 du 30 novembre 2010</w:t>
      </w:r>
    </w:p>
    <w:p>
      <w:r>
        <w:t>IT: GE_GERICHTE ATAS/1243/2010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Déposé dans les forme et délai prévus par la loi, le présent recours est recevable (art. 39 al. 1 et 60 al. 2 LPGA).</w:t>
      </w:r>
    </w:p>
    <w:p>
      <w:r>
        <w:rPr>
          <w:b/>
        </w:rPr>
        <w:t>E. 3</w:t>
      </w:r>
    </w:p>
    <w:p>
      <w:r>
        <w:t>Le litige porte sur le droit de l'assuré à des prestations AI et plus particulièrement à des mesures de reclassement.</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5</w:t>
      </w:r>
    </w:p>
    <w:p>
      <w:r>
        <w:t>a) Selon l’art. 8 al.1er LAI, les assurés invalides ou menacés d’une invalidité (art. 8 LPGA) ont droit à des mesures de réadaptation pour autant que ces mesures soient nécessaires et de nature à rétablir, maintenir ou améliorer leur capacité de gain ou</w:t>
      </w:r>
    </w:p>
    <w:p>
      <w:r>
        <w:t>A/1146/2010 - 7/12 -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consid. 3a). Le pourcentage est calculé selon les mêmes principes que ceux appliqués lors de la détermination du degré d’invalidité dans le cas du droit à une rente (VSI 2000, p. 63, RCC 1984, p. 95). c)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w:t>
      </w:r>
    </w:p>
    <w:p>
      <w:r>
        <w:rPr>
          <w:b/>
        </w:rPr>
        <w:t>E. 6</w:t>
      </w:r>
    </w:p>
    <w:p>
      <w:r>
        <w:t>Aux termes de l'art. 17 LAI, "1 L’assuré a droit au reclassement dans une nouvelle profession si son invalidité rend cette mesure nécessaire et que sa capacité de gain peut ainsi, selon toute vraisemblance, être maintenue ou améliorée. 2 La rééducation dans la même profession est assimilée au reclassement."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w:t>
      </w:r>
    </w:p>
    <w:p>
      <w:r>
        <w:t>A/1146/2010 - 8/12 -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w:t>
      </w:r>
    </w:p>
    <w:p>
      <w:r>
        <w:rPr>
          <w:b/>
        </w:rPr>
        <w:t>E. 7</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A/1146/2010 - 9/12 -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A/1146/2010 - 10/12 -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En l'espèce, l'OAI a refusé d'accorder à l'assuré la mesure de reclassement dans une nouvelle profession sollicitée au motif que le degré d'invalidité est inférieur à 20%.</w:t>
      </w:r>
    </w:p>
    <w:p>
      <w:r>
        <w:t>A/1146/2010 - 11/12 - L'OAI s'est à cet égard fondé sur les conclusions du Dr F___________, selon lesquelles l'assuré peut travailler à plein temps dans une activité adaptée, sans port de charges et sans aucun mouvement de force du bras droit, et a retenu un degré d'invalidité nul, puisque dans le cas de l'assuré les revenus avec et sans invalidité sont basés sur la même tabelle statistique. Certes l'assuré n'a-t-il pas droit à des mesures de réadaptation s'il ne subit pas une perte de gain permanente ou de longue durée de 20% au moins dans une activité raisonnablement exigible. Cette activité raisonnablement exigible doit néanmoins pouvoir être exercée sans autre mesure de réadaptation (MEYER-BLASER, Bundesgesetz über die Invalidenversicherung (IVG), Die Rechtsprechung des Bundesgerichts zum Sozialversicherungsrecht, Zurich 1997, p. 124 sv.). Or, en l'espèce, s'il est vrai que l'expert a considéré que l'assuré pouvait travailler à plein temps dans une activité adaptée à son handicap au bras droit, il a également précisé que celle-ci était "à traduire en termes de métier par un spécialiste de réadaptation". Force est ainsi de constater que l'examen d'éventuelles mesures d'ordre professionnel à mettre en œuvre n'a pas été effectué et que l'OAI n'a pas non plus précisé quel type d'emploi constituerait l'activité adaptée envisagée par le médecin. Il se justifie dès lors de lui renvoyer la cause. Le Tribunal de céans relève que selon l'expert, l'assuré ne montrait pas une motivation très forte pour rester abstinent et que le risque de récidive était important, ce qui constitue un facteur évidemment défavorable au succès d'une mesure quelle qu'elle soit. L'attention de l'assuré est dès lors attirée sur le fait que des mesures ne pourront être menées à bien que s'il fait l'effort nécessaire d'abstinence.</w:t>
      </w:r>
    </w:p>
    <w:p>
      <w:r>
        <w:t>A/1146/2010 - 12/12 -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