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ATAS/1243/2008 vom 10. November 2008</w:t>
      </w:r>
    </w:p>
    <w:p>
      <w:r>
        <w:t>GE Cour de justice, 2008-11-10, FR</w:t>
      </w:r>
    </w:p>
    <w:p>
      <w:r>
        <w:rPr>
          <w:b/>
        </w:rPr>
        <w:t xml:space="preserve">Quelle: </w:t>
      </w:r>
      <w:r>
        <w:t>https://mcp.opencaselaw.ch/entscheid/ge_gerichte_ATAS_1243_2008</w:t>
      </w:r>
    </w:p>
    <w:p>
      <w:r>
        <w:t>FR: GE_GERICHTE ATAS/1243/2008 du 10 novembre 2008</w:t>
      </w:r>
    </w:p>
    <w:p>
      <w:r>
        <w:t>IT: GE_GERICHTE ATAS/1243/2008 del 10 novembre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présent recours, interjeté dans les forme et délai prévus par la loi, est recevable (art. 56 à 60 LPGA).</w:t>
      </w:r>
    </w:p>
    <w:p>
      <w:r>
        <w:t>A/2837/2008 - 7/13 -</w:t>
      </w:r>
    </w:p>
    <w:p>
      <w:r>
        <w:rPr>
          <w:b/>
        </w:rPr>
        <w:t>E. 4</w:t>
      </w:r>
    </w:p>
    <w:p>
      <w:r>
        <w:t>L'objet du litige consiste à déterminer si le degré d'invalidité que présentait le recourant lui ouvrait le droit à une rente d'invalidité et, cas échéant, si ce droit devait être maintenu au-delà du 29 février 2008.</w:t>
      </w:r>
    </w:p>
    <w:p>
      <w:r>
        <w:rPr>
          <w:b/>
        </w:rPr>
        <w:t>E. 5</w:t>
      </w:r>
    </w:p>
    <w:p>
      <w:r>
        <w:t>a) Selon la jurisprudence, une décision par laquelle l'assurance-invalidité accorde une rente d'invalidité avec effet rétroactif et, en même temps, prévoit la réduction ou la suppression de cette rente, correspond à une décision de révision au sens de l'art. 17 LPGA (ATF 125 V 417 consid. 2d et les références; VSI 2001 p. 157). Aux termes de l'art. 17 al. 1 LPGA, si le taux d'invalidité du bénéficiaire de la rente subit une modification notable, la rente est, d'office ou sur demande, révisée pour l'avenir, à savoir augmentée ou réduite en conséquence, ou encore supprimée. Il convient de relever que cette disposition n'a pas apporté de modification aux principes jurisprudentiels développés sous le régime de l'ancien art. 41 LAI, en vigueur jusqu'au 31 décembre 2002 (ATF 130 V 343 consid. 3.5).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 Schaffhauser/Schlauri [Hrsg], Die Revision von Dauerleistungen in der Sozialversicherung, Saint-Gall, 1999, p. 15).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b)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w:t>
      </w:r>
    </w:p>
    <w:p>
      <w:r>
        <w:t>A/2837/2008 - 8/13 -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Aux termes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 qu’il présente sa demande dans les douze mois dès le moment où il en a eu connaissance.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la libre appréciation des preuves, le juge apprécie librement les preuves médicales qu'il a recueillies, sans être lié par des règles formelles, en procédant à une appréciation complète et rigoureuse des preuves. Le juge doit</w:t>
      </w:r>
    </w:p>
    <w:p>
      <w:r>
        <w:t>A/2837/2008 - 9/13 -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En principe, l'administration (ou le juge en cas de recours) ne s'écarte pas sans motifs impératifs des conclusions d'une expertise médicale, la tâche de l'expert étant précisément de mettre ses connaissances spéciales à disposition de l'administration afin de l'éclairer sur les aspects médicaux d'un état de fait donné. Selon la jurisprudence du Tribunal fédéral des assurances (ci-après: TFA), peut constituer une raison de s'écarter d'une expertise le fait que celle-ci contient des contradictions ou que d'autres spécialistes émettent des opinions contraires aptes à mettre sérieusement en doute la pertinence des déductions de l'expert permettant une interprétation divergente des conclusions de ce dernier,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En l'espèce, il s'agit d'examiner si l'état de santé du recourant fonde, de manière limitée ou non, le droit à une rente et si cet état de santé s'est modifié de façon à supprimer ce droit comme l'indique l'OCAI. Pour ce faire, le Tribunal de céans doit juger du poids respectifs des diverses pièces médicales dont il dispose, soit du rapport médical de la Dresse P_________ du 19 décembre 2006, de l'expertise du CEMED et des courriers adressés par la Dresse P_________ et le Dr Q_________ durant la phase d'instruction. S'agissant de l'expertise du CEMED, on relève, à sa lecture, que les points litigieux ont fait l'objet d'une étude circonstanciée. L'expert dresse la liste des documents médicaux qui se trouvent au dossier et sur lesquels il s'est appuyé. Il expose une</w:t>
      </w:r>
    </w:p>
    <w:p>
      <w:r>
        <w:t>A/2837/2008 - 10/13 - anamnèse détaillée du recourant, décrit ses plaintes, expose son status psychiatrique, procède à une synthèse et une discussion de son cas avant de poser des diagnostics précis et évaluer leurs répercussions sur la capacité de travail. Ses conclusions sont bien motivées, attendu qu'il explique pour quelles raisons il écarte le diagnostic posé par les autres spécialistes au profit d'un autre diagnostic, soit celui d'une personnalité émotionnellement labile de type borderline. Il relève, en effet, que l'on peut retenir une évolution clinique avec une moindre fréquence des attaques de panique en lien avec les ruminations et que le recourant n'a plus présenté de phénomènes dissociatifs, depuis novembre 2001. Le trouble dissociatif, qui était probablement en lien avec le syndrome de stress post-traumatique, s'est ainsi amélioré et on assiste, par conséquent, à une évolution en parallèle favorable du syndrome de stress post-traumatique. L'expert observe, par ailleurs, plusieurs éléments qui parlent très clairement contre une modification durable de la personnalité, qui est la complication chronique d'un syndrome de stress post- traumatique. Sur cette base, il considère qu'une réadaptation peut être entreprise dès à présent à 100 % avec une diminution de rendement de 30 %.On peine, en revanche, à comprendre la détermination du SMR. En effet, alors que, dans son avis du 1er avril 2008, il adhère en tous points aux conclusions de l'expert, il indique, dans son avis du 9 septembre 2008, que le recourant présente, selon lui, une modification durable de sa personnalité, tout en confirmant ses conclusions du 1er avril 2008. Quant aux avis subséquents des médecins traitants du recourant, on constate qu'ils ne remettent pas en cause la pertinence des conclusions de l'expert. En effet, les plaintes exposées par la Dresse P_________ existaient déjà au jour de l'expertise et ressortent soit de l'expertise elle-même, soit des documents médicaux dont disposait l'expert. Quant au fait que, selon elle, le recourant présente un syndrome de stress post-traumatique très floride s'accompagnant d'une grande anxiété, il apparaît ici sans pertinence. Le Tribunal de céans ne saurait, en effet, accorder plus de poids au diagnostic posé par un médecin interniste, alors même que le trouble diagnostiqué relève du domaine psychiatrique, qui est précisément le domaine de spécialité de l'expert. Cela apparaît d'autant plus justifié que ce diagnostic a été confirmé par le psychiatre traitant du recourant. Dans son courrier du 27 août 2007, le Dr Q_________ fait état d'une aggravation de l'état de santé psychologique du recourant et d'une amplification de ses plaintes, qu'il impute pour partie à la décision de suppression de l'OCAI. On relève cependant que cette réaction a précisément été prise en considération par l'expert, celui-ci ayant indiqué qu'en raison des antécédents de troubles dissociatifs, on pouvait s'attendre à des manifestations extrêmement démonstratives, face à toutes décisions qui n'allaient pas dans le sens du recourant et précisément à une décompensation passagère en fonction de la décision qu'il lui sera faite par</w:t>
      </w:r>
    </w:p>
    <w:p>
      <w:r>
        <w:t>A/2837/2008 - 11/13 - l'Assurance-Invalidité. L'observation du psychiatre traitant va ainsi dans le sens des conclusions de l'expert, ce d'autant plus qu'il ne relève aucun élément qui permettrait de douter du caractère passager de la décompensation qu'il décrit. Son avis n'est dès lors pas susceptible de remettre en cause la pertinence des conclusions de l'expert. On rappellera, par ailleurs, que le Tribunal de céans ne peut qu'accorder un poids inférieur aux avis de la Dresse P_________ et du Dr Q_________, en raison de la relation de confiance qui les lie à leur patient et qui les pousse à une moins grande impartialité. Pour l'ensemble de ces motifs, le Tribunal de céans considère qu'il convient d'accorder à l'expertise du Dr O_________ une pleine valeur probante et de suivre ses conclusions. Or, l'expert retient une totale incapacité de travail entre mars 1999 et décembre 2001, puis une capacité de travail entière avec un rendement diminué de 30 %, de façon provisoire, dès cette date. Au vu des bases légales rappelées ci-dessus, le droit à la rente du recourant s'est ouvert en mars 2000 et a pris fin en mars 2002. Vu la demande tardive du recourant aucune prestation ne peut lui être versée pour cette période. Par ailleurs, c'est à tort que l'OCAI a accordé une rente au recourant, pour la période du 1er septembre 2005 au 29 février 2008. Il sera rappelé au recourant qu'en cas d'aggravation de son état de santé, il peut déposer une nouvelle demande.</w:t>
      </w:r>
    </w:p>
    <w:p>
      <w:r>
        <w:rPr>
          <w:b/>
        </w:rPr>
        <w:t>E. 7</w:t>
      </w:r>
    </w:p>
    <w:p>
      <w:r>
        <w:t>D’après les art. 61 let. d LPGA et 89E LPA, le TCAS peut, indépendamment des conclusions des parties, réformer la décision attaquée au détriment ou en faveur du recourant. Il doit préalablement donner aux parties l’occasion de se prononcer ou de retirer le recours. Selon la jurisprudence constante, lorsqu'une autorité envisage de procéder sur recours à une reformatio in peius de la décision attaquée, elle est tenue d'avertir le recourant de son intention et doit lui donner l'occasion de s'exprimer (ATF 122 V 167 consid. 2a et les arrêts cités). Le droit d'être entendu étant de nature formelle, il est protégé indépendamment des conséquences matérielles entraînées par sa violation. Ainsi, une décision prise en violation de ce droit doit être annulée, sans égard aux chances de succès sur le fond (ATF 127 V 437 consid. 3d/aa). Par ailleurs, dans une telle situation, la partie invitée à s'exprimer sur l'éventualité d'une réforme à son détriment de la décision entreprise doit être expressément rendue attentive à la possibilité de retirer son recours (ATF 122 V 167 consid. 2b). En l'espèce, la procédure a été suivie. Le recourant a déclaré maintenir ses conclusions. Il sera donc procédé à la reformatio in pejus dans le sens qu'aucun droit à la rente ne peut être reconnu au recourant.</w:t>
      </w:r>
    </w:p>
    <w:p>
      <w:r>
        <w:rPr>
          <w:b/>
        </w:rPr>
        <w:t>E. 8</w:t>
      </w:r>
    </w:p>
    <w:p>
      <w:r>
        <w:t>La loi fédérale du 16 décembre 2005 modifiant la loi fédérale sur l'assurance- invalidité, entrée en vigueur le 1er juillet 2006 (RO 2006 2003), a apporté des</w:t>
      </w:r>
    </w:p>
    <w:p>
      <w:r>
        <w:t>A/2837/2008 - 12/13 -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Le présent cas est soumis au nouveau droit (ch. II let. c des dispositions transitoires relatives à la modification du 16 décembre 2005). Vu l'issue du litige, un émolument de 200 fr. sera mis à charge du recourant.</w:t>
      </w:r>
    </w:p>
    <w:p>
      <w:r>
        <w:t>A/2837/2008 - 13/13 -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