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ATAS/1242/2013 vom 17. Dezember 2013</w:t>
      </w:r>
    </w:p>
    <w:p>
      <w:r>
        <w:t>GE Cour de justice, 2013-12-17, FR</w:t>
      </w:r>
    </w:p>
    <w:p>
      <w:r>
        <w:rPr>
          <w:b/>
        </w:rPr>
        <w:t xml:space="preserve">Quelle: </w:t>
      </w:r>
      <w:r>
        <w:t>https://mcp.opencaselaw.ch/entscheid/ge_gerichte_ATAS_1242_2013</w:t>
      </w:r>
    </w:p>
    <w:p>
      <w:r>
        <w:t>FR: GE_GERICHTE ATAS/1242/2013 du 17 décembre 2013</w:t>
      </w:r>
    </w:p>
    <w:p>
      <w:r>
        <w:t>IT: GE_GERICHTE ATAS/1242/2013 del 17 dicembre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 litige porte sur le droit de la SUVA de mettre un terme au paiement des indemnités journalières et des autres prestations, singulièrement sur la capacité de travail de l'assuré. Sur incident, est litigieuse la restitution de l'effet suspensif au recours.</w:t>
      </w:r>
    </w:p>
    <w:p>
      <w:r>
        <w:rPr>
          <w:b/>
        </w:rPr>
        <w:t>E. 3</w:t>
      </w:r>
    </w:p>
    <w:p>
      <w:r>
        <w:t>Selon l'art. 54 al. 1 let. c LPGA, les décisions et les décisions sur opposition sont exécutoires lorsque l'effet suspensif attribué à une opposition ou à un recours a été retiré.</w:t>
      </w:r>
    </w:p>
    <w:p>
      <w:r>
        <w:t>A/3816/2013 - 5/7 -</w:t>
      </w:r>
    </w:p>
    <w:p>
      <w:r>
        <w:rPr>
          <w:b/>
        </w:rPr>
        <w:t>E. 4</w:t>
      </w:r>
    </w:p>
    <w:p>
      <w:r>
        <w:t>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w:t>
      </w:r>
    </w:p>
    <w:p>
      <w:r>
        <w:rPr>
          <w:b/>
        </w:rPr>
        <w:t>E. 5</w:t>
      </w:r>
    </w:p>
    <w:p>
      <w:r>
        <w:t>a)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(ATF 124 V 88 consid. 6a, 117 V 191 consid. 2b et les références; ATFA du 19 septembre 2006, I 439/06). Une décision portant sur le retrait ou la restitution de l'effet suspensif est une décision incidente en matière de mesures provisionnelles (ATF du 12 mai 2011 9C 94/2011). En pareilles circonstances, l'intérêt de l'administration apparaissait généralement prépondérant, puisque dans l'hypothèse où l'assuré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doivent présenter pour l'assuré, un degré de certitude suffisant pour être prises en considération (ATFA du 19 septembre 2006, I 439/06 ; ATF 119 V 503 consid. 4 p. 507 et les références).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(ATF 119 V 503 consid. 4 p. 507 et les références; voir également arrêt I 267/98 du 22 octobre 1998, in VSI 2000 p. 184; HANSJÖRG SEILER, in Praxiskommentar zum VwVG, n° 103 ad art. 55 PA). c) Dans l'arrêt précité du 19 septembre 2006 (I 439/06), le TFA a considéré que,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w:t>
      </w:r>
    </w:p>
    <w:p>
      <w:r>
        <w:t>A/3816/2013 - 6/7 -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6</w:t>
      </w:r>
    </w:p>
    <w:p>
      <w:r>
        <w:t>En l'espèce, il ressort de l'examen des pièces au dossier prima facie que les douleurs que présente encore l'assuré à la cheville droite ne sont objectivées par aucun rapport médical, même pas de ses médecins traitants, de sorte qu'une issue du litige favorable à l'assuré ne présente pas un degré de certitude suffisant pour pouvoir être prise en considération. Cela suffit à exclure la restitution de l'effet suspensif, l'intérêt de l'administration à prévenir le risque que la créance en restitution de prestations versées à tort soit irrécouvrable primant celui de l'assuré à continuer de recevoir ses indemnités journalières.</w:t>
      </w:r>
    </w:p>
    <w:p>
      <w:r>
        <w:rPr>
          <w:b/>
        </w:rPr>
        <w:t>E. 7</w:t>
      </w:r>
    </w:p>
    <w:p>
      <w:r>
        <w:t>La demande de restitution de l'effet suspensif est rejetée.</w:t>
      </w:r>
    </w:p>
    <w:p>
      <w:r>
        <w:t>A/3816/2013 - 7/7 -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