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ATAS/1241/2020 vom 17. Dezember 2020</w:t>
      </w:r>
    </w:p>
    <w:p>
      <w:r>
        <w:t>GE Cour de justice, 2020-12-17, FR</w:t>
      </w:r>
    </w:p>
    <w:p>
      <w:r>
        <w:rPr>
          <w:b/>
        </w:rPr>
        <w:t xml:space="preserve">Quelle: </w:t>
      </w:r>
      <w:r>
        <w:t>https://mcp.opencaselaw.ch/entscheid/ge_gerichte_ATAS_1241_2020</w:t>
      </w:r>
    </w:p>
    <w:p>
      <w:r>
        <w:t>FR: GE_GERICHTE ATAS/1241/2020 du 17 décembre 2020</w:t>
      </w:r>
    </w:p>
    <w:p>
      <w:r>
        <w:t>IT: GE_GERICHTE ATAS/1241/2020 del 17 dicembre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présent recours est recevable (art. 56 et 60 LPGA ; art. 89B de la loi sur la procédure administrative du 12 septembre 1985 [LPA - E 5 10]).</w:t>
      </w:r>
    </w:p>
    <w:p>
      <w:r>
        <w:t>A/2512/2020 - 5/8 -</w:t>
      </w:r>
    </w:p>
    <w:p>
      <w:r>
        <w:rPr>
          <w:b/>
        </w:rPr>
        <w:t>E. 3</w:t>
      </w:r>
    </w:p>
    <w:p>
      <w:r>
        <w:t>L'objet du litige porte sur le bien-fondé de la suspension de 5 jours du droit à l'indemnité du recourant.</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w:t>
      </w:r>
    </w:p>
    <w:p>
      <w:r>
        <w:rPr>
          <w:b/>
        </w:rPr>
        <w:t>E. 5</w:t>
      </w:r>
    </w:p>
    <w:p>
      <w:r>
        <w:t>a. La durée de la suspension est de un à quinze jours en cas de faute légère, seize à trente jours en cas de faute de gravité moyenne, trente et un à soixante jours en cas de faute grave. b.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Secrétariat d’État à l’économie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w:t>
      </w:r>
    </w:p>
    <w:p>
      <w:r>
        <w:t>A/2512/2020 - 6/8 - personnelles, en particulier celles qui ont trait au comportement de l’intéressé au regard de ses devoirs généraux d’assuré qui fait valoir son droit à des prestations (cf. arrêt du Tribunal fédéral 8C_601/2012 du 26 février 2013 ; arrêt du Tribunal fédéral 8C_537/2013 du 16 avril 2014).</w:t>
      </w:r>
    </w:p>
    <w:p>
      <w:r>
        <w:rPr>
          <w:b/>
        </w:rPr>
        <w:t>E. 6</w:t>
      </w:r>
    </w:p>
    <w:p>
      <w:r>
        <w:t>a. La chambre de céans doit se limiter à examiner si l’administration a fait un usage critiquable de son pouvoir d’appréciation (arrêt du Tribunal fédéral 8C_316/2007 du 16 avril 2008). b.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8C_73/2013 du 29 août 2013).</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8</w:t>
      </w:r>
    </w:p>
    <w:p>
      <w:r>
        <w:t>En l'espèce, il convient tout d’abord de saluer les efforts du recourant, qui ont porté leurs fruits et lui ont permis de retrouver rapidement un emploi. Cela étant, ce résultat positif n’a pas pour effet d’exonérer le recourant de ses obligations à l’égard de l’OCE. En effet, comme l’a rappelé le Tribunal fédéral dans un récent arrêt du 19 novembre 2020 (8C_64/2020 consid. 5.2.2) le fait de trouver un emploi ne dispense pas rétroactivement l’assuré de ses obligations. Les justifications données par le recourant selon lesquelles il avait manqué son rendez-vous téléphonique fixé avec son conseiller, car il préparait son entretien afin de finaliser son contrat, n’emportent pas la conviction de la chambre de céans, dès lors qu’il est établi que le contrat porte la date du 19 juin 2020, soit avant l’entretien de conseil et qu’il appartenait à l’assuré d’informer immédiatement son conseiller et de faire procéder à l’annulation du rendez-vous. Si, par hypothèse, le contrat de travail avait été négocié et finalisé après la date du 25 juin 2020 et antidaté, il appartenait à l’intéressé de l’alléguer et de le démontrer, ce qu’il n’a pas fait. Le recourant invoque également la pandémie COVID-19 et ses obligations parentales pour ne pas avoir répondu à l’appel de son conseiller. La présence d’enfants à la maison, en raison de la situation sanitaire est, certes, de nature à perturber l’activité d’une personne en recherche d’emploi, mais ne constitue pas un</w:t>
      </w:r>
    </w:p>
    <w:p>
      <w:r>
        <w:t>A/2512/2020 - 7/8 - élément justificatif permettant de s’affranchir d’un rendez-vous téléphonique avec le conseiller. Compte tenu de ce qui précède, aucun élément justificatif ne peut être retenu au bénéfice du recourant.</w:t>
      </w:r>
    </w:p>
    <w:p>
      <w:r>
        <w:rPr>
          <w:b/>
        </w:rPr>
        <w:t>E. 9</w:t>
      </w:r>
    </w:p>
    <w:p>
      <w:r>
        <w:t>Le principe de la faute étant établi, il sied d’examiner si la quotité de la sanction est proportionnée. Le bulletin LACI prévoit aux côtes B343 et B344 que l'ORP a un entretien de conseil et de contrôle à intervalles raisonnables, mais au moins tous les 2 mois avec chaque assuré. Ces entretiens permettent en premier lieu de contrôler si l'assuré est apte et disposé à être placé, de vérifier ses recherches d'emploi ainsi que de lui assigner un travail convenable ou une mesure relative au marché du travail. Sous côte D79, l’échelle des suspensions du SECO à l’attention des autorités cantonales prévoit une suspension d’une durée de 5 à 8 jours en cas de non- présentation, sans motif valable, à un entretien de conseil. Égale au minimum de jours de suspension prévu par le barème du SECO, soit 5 jours, la sanction respecte la condition de la proportionnalité. Le recourant ne fait pas valoir de circonstances personnelles particulières qui justifieraient une diminution de la sanction. En appliquant ledit barème au cas de l’assuré et en retenant, en conséquence, une suspension du droit à l'indemnité de celui-ci de 5 jours, l'intimé n’a pas fait un usage critiquable de son pouvoir d'appréciation.</w:t>
      </w:r>
    </w:p>
    <w:p>
      <w:r>
        <w:rPr>
          <w:b/>
        </w:rPr>
        <w:t>E. 10</w:t>
      </w:r>
    </w:p>
    <w:p>
      <w:r>
        <w:t>Dès lors, la chambre de céans ne peut que rejeter le recours.</w:t>
      </w:r>
    </w:p>
    <w:p>
      <w:r>
        <w:rPr>
          <w:b/>
        </w:rPr>
        <w:t>E. 11</w:t>
      </w:r>
    </w:p>
    <w:p>
      <w:r>
        <w:t>Pour le surplus, la procédure est gratuite.</w:t>
      </w:r>
    </w:p>
    <w:p>
      <w:r>
        <w:t>A/2512/2020 - 8/8 -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