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ATAS/1241/2012 vom 10. Oktober 2012</w:t>
      </w:r>
    </w:p>
    <w:p>
      <w:r>
        <w:t>GE Cour de justice, 2012-10-10, FR</w:t>
      </w:r>
    </w:p>
    <w:p>
      <w:r>
        <w:rPr>
          <w:b/>
        </w:rPr>
        <w:t xml:space="preserve">Quelle: </w:t>
      </w:r>
      <w:r>
        <w:t>https://mcp.opencaselaw.ch/entscheid/ge_gerichte_ATAS_1241_2012</w:t>
      </w:r>
    </w:p>
    <w:p>
      <w:r>
        <w:t>FR: GE_GERICHTE ATAS/1241/2012 du 10 octobre 2012</w:t>
      </w:r>
    </w:p>
    <w:p>
      <w:r>
        <w:t>IT: GE_GERICHTE ATAS/1241/2012 del 10 ottobre 2012</w:t>
      </w:r>
    </w:p>
    <w:p>
      <w:pPr>
        <w:pStyle w:val="Heading2"/>
      </w:pPr>
      <w:r>
        <w:t>Erwägungen</w:t>
      </w:r>
    </w:p>
    <w:p>
      <w:r>
        <w:rPr>
          <w:b/>
        </w:rPr>
        <w:t>E. 8</w:t>
      </w:r>
    </w:p>
    <w:p>
      <w:r>
        <w:t>avril 2009. De l'avis de la Cour de céans, le trouble de l'humeur relève ainsi en l'occurrence plutôt de facteurs psychosociaux ou socioculturels et non pas d'une atteinte à la santé psychiatrique. Cela étant, il n'y a pas lieu d'ordonner une expertise psychiatrique, les indices pour un trouble dépressif étant trop ténus.</w:t>
      </w:r>
    </w:p>
    <w:p>
      <w:r>
        <w:rPr>
          <w:b/>
        </w:rPr>
        <w:t>E. 9</w:t>
      </w:r>
    </w:p>
    <w:p>
      <w:r>
        <w:t>La comparaison des revenus s'effectue, en règle ordinaire, en chiffrant aussi exactement que possible les montants du revenu sans invalidité et du revenu d'invalide et en les confrontant l'un avec l'autre, la différence permettant de calculer le taux d'invalidité (méthode générale de comparaison des revenus; ATF 128 V 29 consid. 1, 104 V 135 consid. 2a et 2b). La mesure dans laquelle les salaires ressortant des statistiques, retenus pour le salaire d'invalide,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w:t>
      </w:r>
    </w:p>
    <w:p>
      <w:r>
        <w:rPr>
          <w:b/>
        </w:rPr>
        <w:t>E. 10</w:t>
      </w:r>
    </w:p>
    <w:p>
      <w:r>
        <w:t>En l’occurrence, le recourant ne remet pas en cause la comparaison de salaires effectuée par l’intimé. Celui-ci a en outre retenu une diminution supplémentaire des salaires statistiques de 20 %, afin de tenir compte du lourd handicap du recourant.</w:t>
      </w:r>
    </w:p>
    <w:p>
      <w:r>
        <w:t>A/2568/2011 - 15/16 - Cette appréciation est conforme au droit, de sorte qu’il convient de constater que la perte de gain établie par l’intimé à 50,6 % est fondée. Ce degré d'invalidité n'ouvre le droit qu'à une demi-rente d'invalidité.</w:t>
      </w:r>
    </w:p>
    <w:p>
      <w:r>
        <w:rPr>
          <w:b/>
        </w:rPr>
        <w:t>E. 11</w:t>
      </w:r>
    </w:p>
    <w:p>
      <w:r>
        <w:t>Cela étant, le recours sera rejeté.</w:t>
      </w:r>
    </w:p>
    <w:p>
      <w:r>
        <w:rPr>
          <w:b/>
        </w:rPr>
        <w:t>E. 12</w:t>
      </w:r>
    </w:p>
    <w:p>
      <w:r>
        <w:t>Le recourant qui succombe sera condamné au paiement d’un émolument de justice du montant minimal de 200 fr. (art. 69 al. 1bis LAI).</w:t>
      </w:r>
    </w:p>
    <w:p>
      <w:r>
        <w:t>A/2568/2011 - 16/16 -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