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ATAS/1240/2011 vom 19. Dezember 2011</w:t>
      </w:r>
    </w:p>
    <w:p>
      <w:r>
        <w:t>GE Cour de justice, 2011-12-19, FR</w:t>
      </w:r>
    </w:p>
    <w:p>
      <w:r>
        <w:rPr>
          <w:b/>
        </w:rPr>
        <w:t xml:space="preserve">Quelle: </w:t>
      </w:r>
      <w:r>
        <w:t>https://mcp.opencaselaw.ch/entscheid/ge_gerichte_ATAS_1240_2011</w:t>
      </w:r>
    </w:p>
    <w:p>
      <w:r>
        <w:t>FR: GE_GERICHTE ATAS/1240/2011 du 19 décembre 2011</w:t>
      </w:r>
    </w:p>
    <w:p>
      <w:r>
        <w:t>IT: GE_GERICHTE ATAS/1240/2011 del 19 dicembre 2011</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et les modifications de la loi fédérale sur l'assurance-invalidité du 21 mars 2003 (4ème révision) et du 6 octobre 2006 (5ème révision), entrées en vigueur le 1er janvier 2004, respectivement, le 1er janvier 2008, entraînent la modification de nombreuses dispositions légales dans le domaine de l'assurance-invalidité.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les faits pertinents remontent à l’année 2009 (début de la procédure de révision) et la décision litigieuse a été rendue en mai 2011. Par conséquent, du point de vue matériel, le droit éventuel aux prestations doit être examiné au regard de la 5ème révision de la LAI et en fonction des nouvelles normes de la LPGA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question de savoir si l'OAI était fondé à supprimer la rente entière d'invalidité de la recourante dans le cadre d'une procédure de révision.</w:t>
      </w:r>
    </w:p>
    <w:p>
      <w:r>
        <w:rPr>
          <w:b/>
        </w:rPr>
        <w:t>E. 5</w:t>
      </w:r>
    </w:p>
    <w:p>
      <w:r>
        <w:t>L’art. 17 al. 1er LPGA dispose que si le taux d’invalidité du bénéficiaire de la rente subit une modification notable, la rente est, d’office ou sur demande, révisée pour</w:t>
      </w:r>
    </w:p>
    <w:p>
      <w:r>
        <w:t>A/1832/2011 - 10/19 -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6</w:t>
      </w:r>
    </w:p>
    <w:p>
      <w:r>
        <w:t>En l'espèce, il s'agit donc de comparer la situation prévalant en 2002 lors de l'octroi de la rente invalidité et celle prévalant en mai 2011 au moment où la décision litigieuse a été rendue. A cet égard, l'OAI a considéré que - ne souffrant plus que d'un trouble dépressif récurrent en voie de rémission - l'état de santé de la recourante s'était amélioré et stabilisé de manière notable depuis 3 ans, de sorte que la recourante avait recouvré une pleine et entière capacité de travail rendant son degré d'invalidité nul. A l'appui de sa décision, l'OAI s'est fondé sur l'expertise bidisciplinaire rendue en octobre 2009 par les Drs E___________ et F___________, médecins spécialistes au CEMED, selon lesquels la capacité de travail de la recourante était depuis fin 2007 de 100% dans une activité simple comme le nettoyage.</w:t>
      </w:r>
    </w:p>
    <w:p>
      <w:r>
        <w:t>A/1832/2011 - 11/19 -</w:t>
      </w:r>
    </w:p>
    <w:p>
      <w:r>
        <w:rPr>
          <w:b/>
        </w:rPr>
        <w:t>E. 7</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8</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A/1832/2011 - 12/19 -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A/1832/2011 - 13/19 - probables (ATF 126 V 353, consid. 5b; ATF 130 III 321 consid. 3.2 et 3.3; ATF 125 V 193, consid. 2). Aussi n’existe-t-il pas, en droit des assurances sociales, un principe selon lequel l’administration ou le juge devrait statuer, dans le doute, en faveur de l’assuré (ATF 126 V 319, consid. 5a).</w:t>
      </w:r>
    </w:p>
    <w:p>
      <w:r>
        <w:rPr>
          <w:b/>
        </w:rPr>
        <w:t>E. 10</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w:t>
      </w:r>
    </w:p>
    <w:p>
      <w:r>
        <w:rPr>
          <w:b/>
        </w:rPr>
        <w:t>E. 11</w:t>
      </w:r>
    </w:p>
    <w:p>
      <w:r>
        <w:t>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Une évaluation psychologique peut remplacer l'appréciation d'un psychiatre lorsqu'elle permet de résoudre la question décisive qui se pose en présence de troubles somatoformes douloureux, à savoir si l'assurée possède en elle suffisamment de ressources psychiques pour faire face à ses douleurs et réintégrer</w:t>
      </w:r>
    </w:p>
    <w:p>
      <w:r>
        <w:t>A/1832/2011 - 14/19 - le circuit économique eu égard aux critères développés par la jurisprudence (ATFA non publié I 544/04 du 13 décembre 2005, consid. 3.1).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consid. 4.2.2; ATF 9C 387/2009 du 5 octobre 2009, consid. 3.2). Il y a lieu d'observer que selon la doctrine médicale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et les réf. cit.).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t>A/1832/2011 - 15/19 -</w:t>
      </w:r>
    </w:p>
    <w:p>
      <w:r>
        <w:rPr>
          <w:b/>
        </w:rPr>
        <w:t>E. 12</w:t>
      </w:r>
    </w:p>
    <w:p>
      <w:r>
        <w:t>Enfin,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(ATFA non publié I 421/06 du 6 novembre 2007, consid. 3.1; ATFA non publié I 382/00 du 9 octobre 2001, consid. 2b). L'égalité de traitement commande en effet de soumettre tous les tableaux cliniques présentant des syndromes sans origine pathogène ou étiologique claire aux mêmes exigences en matière d'assurances sociales (ATFA non publié I 70/07 du 14 avril 2008, consid. 5). Ainsi, les principes jurisprudentiels développés en matière de troubles somatoformes douloureux sont également applicables à la fibromyalgie (ATF 132 V 65 consid. 4.1) au syndrome de fatigue chronique (ATF non publié 9C_662/2009 du 17 août 2010, consid. 2.3), de neurasthénie (ATFA non publié I 70/07 du 14 avril 2008, consid. 5), d'anesthésie dissociative et d'atteintes sensorielles (ATFA non publié I 9/07 du 9 février 2007, consid. 4) ainsi qu'en matière de troubles moteurs dissociatifs (ATF non publié 9C_903/2007 du 30 avril 2008, consid. 3.4) et de traumatisme du type "coup du lapin" (ATF 136 V 279 consid. 3.2.3).</w:t>
      </w:r>
    </w:p>
    <w:p>
      <w:r>
        <w:rPr>
          <w:b/>
        </w:rPr>
        <w:t>E. 14</w:t>
      </w:r>
    </w:p>
    <w:p>
      <w:r>
        <w:t>Ce rapport n'apporte cependant pas d'éléments nouveaux. Le Dr G___________ relève que l'état de santé de sa patiente ne s'est guère amélioré, mais ne fait pas état d'une péjoration depuis l'établissement de son dernier rapport du 14 décembre 2010. Il ne met pas non plus en exergue un changement qui serait intervenu entre la date de l'examen au SMR en février 2011 et celle de la décision de mai 2011. Il n'y a donc pas lieu de retenir la survenance entre ces deux dates d'une aggravation de l'état de santé psychique de l'assurée. Par ailleurs, comme le soutient à juste titre l'intimé, une éventuelle aggravation de l'état de santé postérieure au 11 mai 2011 n'est en l'espèce par pertinente pour la résolution du litige. En effet, selon une jurisprudence constante, le juge des assurances sociales apprécie la légalité des décisions attaquées, en règle générale, d’après l’état de fait existant au moment où la décision litigieuse a été rendue et que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Partant, sous cet angle également, le recours sera rejeté et il n'y a pas lieu de donner suite à la demande d'instruction complémentaire formulée par la recourante.</w:t>
      </w:r>
    </w:p>
    <w:p>
      <w:r>
        <w:rPr>
          <w:b/>
        </w:rPr>
        <w:t>E. 15</w:t>
      </w:r>
    </w:p>
    <w:p>
      <w:r>
        <w:t>Cela étant, si des éléments plaident en faveur d'une aggravation de l'état de santé à une date postérieure à la décision, il est loisible à la recourante de s'en prévaloir dans le cadre d'une nouvelle demande de révision de son droit à la rente, étant rappelé que si la rente a été supprimée du fait de l'abaissement du degré d'invalidité et que l'assurée dans les trois ans qui suivent présente un nouveau degré d'invalidité, on déduira de la période d'attente que lui imposerait l'article 28 al. 1 let. b LAI, celle qui a précédé le premier octroi (art. 29 bis du règlement du 17 janvier 1961 sur l'assurance-invalidité.</w:t>
      </w:r>
    </w:p>
    <w:p>
      <w:r>
        <w:rPr>
          <w:b/>
        </w:rPr>
        <w:t>E. 16</w:t>
      </w:r>
    </w:p>
    <w:p>
      <w:r>
        <w:t>Enfin, si les conditions de la révision sont comme en l'espèce données, les prestations sont, conformément à l’art. 17 al. 1 LPGA, modifiées pour l’avenir dans le sens exigé par le nouveau degré d’invalidité. Chaque loi spéciale peut fixer le</w:t>
      </w:r>
    </w:p>
    <w:p>
      <w:r>
        <w:t>A/1832/2011 - 18/19 -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w:t>
      </w:r>
    </w:p>
    <w:p>
      <w:r>
        <w:rPr>
          <w:b/>
        </w:rPr>
        <w:t>E. 17</w:t>
      </w:r>
    </w:p>
    <w:p>
      <w:r>
        <w:t>La décision litigieuse supprimant la rente dès le 1er jour du 2ème mois suivant la notification est donc conforme au droit et sera ainsi en tous points confirmée.</w:t>
      </w:r>
    </w:p>
    <w:p>
      <w:r>
        <w:rPr>
          <w:b/>
        </w:rPr>
        <w:t>E. 18</w:t>
      </w:r>
    </w:p>
    <w:p>
      <w:r>
        <w:t>Au vu de ce qui précède, le recours sera rejeté. Étant donné que depuis le 1er juillet 2006, la procédure n'est plus gratuite (art. 69 al. 1bis LAI), il y a lieu de condamner la recourante au paiement d'un émolument de 200 fr. * * *</w:t>
      </w:r>
    </w:p>
    <w:p>
      <w:r>
        <w:t>A/1832/2011 - 19/19 -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