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ATAS/1240/2010 vom 30. November 2010</w:t>
      </w:r>
    </w:p>
    <w:p>
      <w:r>
        <w:t>GE Cour de justice, 2010-11-30, FR</w:t>
      </w:r>
    </w:p>
    <w:p>
      <w:r>
        <w:rPr>
          <w:b/>
        </w:rPr>
        <w:t xml:space="preserve">Quelle: </w:t>
      </w:r>
      <w:r>
        <w:t>https://mcp.opencaselaw.ch/entscheid/ge_gerichte_ATAS_1240_2010</w:t>
      </w:r>
    </w:p>
    <w:p>
      <w:r>
        <w:t>FR: GE_GERICHTE ATAS/1240/2010 du 30 novembre 2010</w:t>
      </w:r>
    </w:p>
    <w:p>
      <w:r>
        <w:t>IT: GE_GERICHTE ATAS/1240/2010 del 30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L'assuré a déposé, le 7 août 2008, une demande en révision de l'arrêt rendu en date du 6 mai 2008 par le Tribunal de céans.</w:t>
      </w:r>
    </w:p>
    <w:p>
      <w:r>
        <w:rPr>
          <w:b/>
        </w:rPr>
        <w:t>E. 4</w:t>
      </w:r>
    </w:p>
    <w:p>
      <w:r>
        <w:t>Aux termes de l’art. 81 LPA, la demande de révision doit être adressée par écrit à la juridiction qui a rendu la décision, dans les trois mois dès la découverte du motif de révision, mais au plus tard dans les dix ans à compter de la notification de la décision. En l'espèce, l'assuré s'est rendu en consultation chez le Dr C__________ pour des douleurs survenues à l'épaule dans le courant du mois de mai 2008. Des examens de l'épaule effectués en date du 29 mai 2008 ont mis en évidence diverses pathologies, à savoir notamment, un très net conflit sous acromial, une périarthrite calcifiante et une lésion de type SLAP. Ce n'est qu'une fois ces diagnostics posés que l'assuré a pu réaliser qu'il souffrait de troubles pouvant avoir une influence déterminante sur le calcul de son degré d'invalidité. C'est donc à partir de cette date que le délai de 3 mois prévu par l'art. 81 LPA a commencé à courir et il n'était pas échu au moment du dépôt de la demande le 7 août 2008, laquelle a par ailleurs été formée par écrit.</w:t>
      </w:r>
    </w:p>
    <w:p>
      <w:r>
        <w:t>A/3781/2007 - 7/11 - La demande en révision est dès lors formellement recevable.</w:t>
      </w:r>
    </w:p>
    <w:p>
      <w:r>
        <w:rPr>
          <w:b/>
        </w:rPr>
        <w:t>E. 5</w:t>
      </w:r>
    </w:p>
    <w:p>
      <w:r>
        <w:t>A teneur de l’art. 89I al. 2 de la loi du 12 septembre 1985 sur la procédure administrative (LPA), l’art. 61 let i LPGA est applicable pour les causes visées à l’art. 56V al. 1er LOJ et l’art. 80 LPA pour les causes visées à l’art. 56V al. 2 LOJ. Cependant, la LPGA renvoyant au droit cantonal pour régler la procédure devant le tribunal cantonal des assurances, il convient d’appliquer l’art. 80 LPA dans toutes les hypothèses (ATAS/326/2008). Cette disposition prévoit qu’il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pièces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(ATF 127 V 358 consid. 5b et les références).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110 V 141 consid. 2</w:t>
      </w:r>
    </w:p>
    <w:p>
      <w:r>
        <w:t>A/3781/2007 - 8/11 - et 293 consid. 2a, 108 V 171 consid. 1; voir aussi ATF 121 IV 322 consid. 2, 118 II 205 consid. 5). En l'espèce, dans le cadre de sa demande, le recourant a produit une expertise du Dr C__________ datée du 3 juin 2008, faisant état notamment d'une périarthrite calcifiante de l'épaule droite. Il s'agit d'un fait nouveau dès lors que cette pathologie n'était pas connue lorsque le Tribunal de céans a rendu son arrêt le 6 mai 2008. L'intimé a lui-même admis explicitement qu'il s'agissait d'un fait nouveau nécessitant un complément d'expertise. Il s'agit de déterminer toutefois si cette nouvelle pathologie a une influence sur la capacité de travail de l'assuré et pourrait de ce fait modifier la décision dont l'assuré requiert la révision.</w:t>
      </w:r>
    </w:p>
    <w:p>
      <w:r>
        <w:rPr>
          <w:b/>
        </w:rPr>
        <w:t>E. 6</w:t>
      </w:r>
    </w:p>
    <w:p>
      <w:r>
        <w:t>Est réputée invalidité l'incapacité de gain totale ou partielle qui est présumée permanente ou de longue durée (art. 8 LPGA). L' incapacité de gain est définie comme étant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LPGA). La capacité de gain est déterminée en premier lieu par la capacité de travail résiduelle, soit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w:t>
      </w:r>
    </w:p>
    <w:p>
      <w:r>
        <w:rPr>
          <w:b/>
        </w:rPr>
        <w:t>E. 7</w:t>
      </w:r>
    </w:p>
    <w:p>
      <w:r>
        <w:t>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les parties ainsi que les expertises médicales ordonnées par le juge (VSI 1997, p. 318, consid- 3b; BLANC, La procédure administrative en assurance-invalidité, thèse Fribourg 1999, p. 142).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A/3781/2007 - 9/11 - L'élément déterminant pour la valeur probante d'un rapport médical n'est ni son origine, ni sa désignation, mais son contenu. A cet égard, il convient que les points litigieux importants aient fait l'objet d'une étude fouillée, que le rapports se fonde sur des examens complets, qu'il prenne également en considération les plaintes exprimées, qu'il ai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rPr>
          <w:b/>
        </w:rPr>
        <w:t>E. 8</w:t>
      </w:r>
    </w:p>
    <w:p>
      <w:r>
        <w:t>Le Tribunal de céans a fondé son arrêt du 6 mai 2008 sur l'expertise du 18 avril 2006 du Dr A__________ à laquelle il a reconnu pleine valeur probante. Le médecin avait ainsi retenu que l'assuré bénéficiait dans une activité légère d'une capacité de travail de 75%, diminution de rendement comprise. L'assuré a invoqué à l'appui de sa demande en révision des faits nouveaux, le Dr C__________ ayant constaté une péjoration de son état de santé en raison de pathologies qui n'avaient pas pu être prises en compte à par le Dr A__________ dans sa première expertise. Le Tribunal de céans constate cependant que ni dans son expertise du 3 juin 2008, ni dans les compléments qu'il a versés à la procédure les 17 et 30 septembre 2009, le Dr C__________ ne s'est prononcé sur la capacité résiduelle de travail de l'assuré. Il s'est en effet référé aux appréciations de ses confrères ainsi qu'à la littérature médicale pour finalement conclure de façon toute générale que les nouvelles affections dont souffre le patient sont péjoratives et ont un effet néfaste sur sa santé. Dans l'expertise établie le 2 mars 2010 dans le cadre de la procédure de révision, le Dr A__________ a pris, sur la base d'une anamnèse complète, des pièces du dossier et des plaintes du patient, des conclusions détaillées quant aux effets sur la capacité de travail de l'assuré de chacune des pathologies dont il est atteint. Il existe certes une discordance, s'agissant de l'examen clinique de l'épaule de l'assuré, entre les constatations du Dr C__________ qui insiste sur la gravité de l'affections et celles du Dr A__________ dont les observations concluent à une amélioration de la pathologie. Cela étant, force est de constater que plusieurs mois se sont passé entre les deux diagnostics, celui du Dr C__________ datant de juin 2008 et celui du Dr D__________ de mars 2010 et qu'il est tout à fait vraisemblable que la situation de l'assuré se soit améliorée. En effet, tant dans son expertise que dans ses courriers des 17 et 30 septembre 2009, le Dr C__________ préconisait la nécessité d'une intervention chirurgicale en raison de la gravité de l'atteinte. Celle-ci n'a cependant</w:t>
      </w:r>
    </w:p>
    <w:p>
      <w:r>
        <w:t>A/3781/2007 - 10/11 - jamais eu lieu depuis, ce qui aurait tendance à confirmer le diagnostic du Dr A__________ visant une amélioration de l'atteinte. Quant aux problèmes psychiques évoqués par l'assuré dans son écriture du 3 mai 2010, soit bien après que l'expertise du Dr D__________ ait été rendue, ils n'ont jamais été relevés dans la demande en révision et il ne sauraient être pris en compte à ce stade de la procédure. Ils ne sont de surcroît étayés par aucun document médical probant et n'ont jamais été constatés dans aucune des expertises faites jusque-là. Il appartiendra ainsi à l'assuré le cas échéant de faire valoir ce grief dans le cadre d'une nouvelle demande déposée auprès de l'intimé.</w:t>
      </w:r>
    </w:p>
    <w:p>
      <w:r>
        <w:rPr>
          <w:b/>
        </w:rPr>
        <w:t>E. 9</w:t>
      </w:r>
    </w:p>
    <w:p>
      <w:r>
        <w:t>Dans la mesure où la dernière expertise du Dr A__________ présente tous les réquisits nécessaires pour lui voir reconnaître pleine valeur probante au sens de la jurisprudence, il n'y a aucun motif de s'en écarter. Les pathologies invoquées par l'assuré à l'appui de sa demande en révision n'ayant abouti à aucune modification de sa capacité de travail par rapport à ce qui avait été retenu en 2006 par le Dr A__________, force est de constater qu'il n'y a pas lieu de réviser l'arrêt du 6 mai 2008. Par conséquent la demande en révision est rejetée.</w:t>
      </w:r>
    </w:p>
    <w:p>
      <w:r>
        <w:t>A/3781/2007 - 11/11 -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