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ATAS/1240/2009 vom 7. Oktober 2009</w:t>
      </w:r>
    </w:p>
    <w:p>
      <w:r>
        <w:t>GE Cour de justice, 2009-10-07, FR</w:t>
      </w:r>
    </w:p>
    <w:p>
      <w:r>
        <w:rPr>
          <w:b/>
        </w:rPr>
        <w:t xml:space="preserve">Quelle: </w:t>
      </w:r>
      <w:r>
        <w:t>https://mcp.opencaselaw.ch/entscheid/ge_gerichte_ATAS_1240_2009</w:t>
      </w:r>
    </w:p>
    <w:p>
      <w:r>
        <w:t>FR: GE_GERICHTE ATAS/1240/2009 du 7 octobre 2009</w:t>
      </w:r>
    </w:p>
    <w:p>
      <w:r>
        <w:t>IT: GE_GERICHTE ATAS/1240/2009 del 7 ottobre 2009</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présente une invalidité ouvrant le droit aux prestations de l'assurance-invalidité au moment où la décision litigieuse a été rendue, à savoir le 18 septembre 2008.</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A/3703/2008 - 9/15 -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Selon l'art. 28 al. 2 LAI, l'assuré a droit à une rente s'il est invalide à 40 % au moins. La rente est échelonnée comme suit, selon le taux d'invalidité : 40 % au moins un quart, 50 % au moins une demie, 60 % au moins trois-quarts, 70 % au moins rente entière. b) Aux termes de l'art. 29 al. 1 aLAI,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La cinquième révision, entrée en vigueur le 1er janvier 2008, a modifié les règles relatives à la naissance du droit à la rente, qui, pour autant que les conditions du droit soient réunies (art. 28 al. 1 LAI), prend naissance au plus tôt à l’échéance d’une période de six mois à compter de la date à laquelle l’assuré a fait valoir son droit aux prestations conformément à l’art. 29 al. 1 LPGA (cf. ATF non publié du 28 août 2008, 8C_373/08, consid. 2.1).</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A/3703/2008 - 10/15 -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A/3703/2008 - 11/15 -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7</w:t>
      </w:r>
    </w:p>
    <w:p>
      <w:r>
        <w:t>En l'espèce, la recourante a fait l'objet d'une expertise judiciaire par le Dr G__________. Comme l'admet également le Dr H__________ du SMR, cette expertise remplit en principe les critères jurisprudentiels précités pour lui reconnaître une pleine valeur probante, même si ce dernier médecin n'est pas convaincu par ses conclusions. Selon le Dr G__________, la capacité de travail de la recourante est nulle depuis en tout cas janvier 2008, en raison essentiellement d'une phobie sociale, à laquelle s'ajoute un trouble de la personnalité émotionnellement labile, type borderline, un épisode dépressif moyen sans syndrome somatique et une dysthymie, une dépendance à l'alcool, une utilisation épisodique, et un trouble de l'alimentation, sans précision. Ces diagnostics correspondent en grande partie à ceux posés par le Dr F__________. Cependant, ils ne sont partagés qu'en partie par le Dr E__________ du SMR, lequel n'a notamment pas posé le diagnostic d'épisode dépressif, d'anxiété généralisée, de trouble phobique et de trouble panique. Selon l'expert judiciaire, cela pourrait s'expliquer par le fait que l'état de santé de la recourante s'est aggravé depuis l'examen par le SMR en mai 2007, raison pour laquelle il propose de reconnaître une incapacité de travail totale de la recourante à partir du moment où elle est en traitement chez le Dr F__________, à savoir depuis janvier 2008.</w:t>
      </w:r>
    </w:p>
    <w:p>
      <w:r>
        <w:t>A/3703/2008 - 12/15 - Cependant, le Dr H__________ du SMR n'est pas convaincu par le diagnostic de phobie sociale posé par l'expert judiciaire et relève que ce diagnostic n'est pas compatible avec les activités professionnelles exercées par la recourante dans le passé, à savoir celles de danseuse et d'entraîneuse dans un bar à champagne. Par ailleurs, la recourante était capable de venir à l'examen du SMR en train et non accompagnée. Elle était en outre décrite comme collaborante par le Dr E__________. Ses occupations quotidiennes sont également en contradiction avec un tel diagnostic. En premier lieu, il n'est pas exclu que l'expertise judiciaire repose sur un examen clinique plus approfondi que celui auquel a procédé le Dr E__________. En effet, l'expert a vu la recourante à deux entretiens de 75 minutes en son cabinet (cf. p. 10 de l'expertise), alors que le Dr E__________ n'a eu qu'un seul entretien de 75 minutes avec elle (cf. p. 3 du rapport d'examen du SMR). L'expert a aussi eu un contact téléphonique avec son psychiatre traitant, le Dr F__________. Les diagnostics posés par l'expert sont en outre étayés par les constatations objectives. Ainsi, il relève que la recourante gardait le visage partiellement caché sous la visière d'une casquette et des verres de lunettes de soleil. S'il est vrai que la collaboration était bonne lors de l'expertise, le discours était assez décousu et mal structuré, selon l'expert. L'anamnèse était rendue difficile par l'émergence de bouffées anxieuses et de pleurs à l'évocation de souvenirs pénibles. Il est à cet égard à rappeler que le Dr E__________ a également fait état de pleurs au cours de l'examen (p. 3 de l'examen psychiatrique du SMR, sous status psychiatrique). Concernant les fonctions cognitives, l'expert constate que les informations manquent de précision chronologique. Le flou et encore plus prononcée lorsqu'il s'agit de faits émotionnellement sensibles. L'expertisée paraît par ailleurs fatigable intellectuellement et émotionnellement et son attention fléchit à la fin des deux séances d'entretien. Sur la base de l'expression triste du visage, des pleurs fréquents, la rareté des mouvements spontanés (ralentissement moteur) et à la voix monotone, peu timbrée et avec peu d'informations (ralentissement vocal), il constate que l'humeur paraît assez basse. La triade cognitive de Beck est bien présente. Quant à l'anxiété, l'expert déclare que l'expertisée est visiblement anxieuse, au vu de la présence de tremblements fins des extrémités, d'une voix souvent nouée, par moment de l'incapacité de terminer une phrase évoquant un sujet sensible. Parfois, la respiration est accélérée et il y a une moiteur froide des mains. A cela s'ajoute un comportement d'évitement social massif depuis des années. Quant aux constatations de la vie quotidienne, celles du Dr G__________ sont tout à fait compatibles avec les éléments relevés par le Dr E__________. Il est vrai que la recourante est encore capable de s'occuper de son ménage, qu'elle prépare, irrégulièrement, ses repas et fait ses courses dans les supermarchés trois fois par semaine, comme relevé par ce dernier médecin. Celui-ci admet aussi qu'elle ne sort quasiment plus de chez elle et que son seul contact se limite à une amie et aux personnes de Caritas où elle exerce une activité bénévole. Le Dr G__________ précise cependant la vie quotidienne, en</w:t>
      </w:r>
    </w:p>
    <w:p>
      <w:r>
        <w:t>A/3703/2008 - 13/15 - ajoutant que l'expertisée prépare peu de repas, car elle n'a pas envie ni de préparer ni de manger un vrai repas. Par contre, elle grignote toute la journée, sauf dans les périodes d'anorexie. Elle fait ses commissions très tôt le matin pour rencontrer le moins de monde possible. Le week-end, elle reste enfermée chez elle. Quant au seul ami, c'est lui qui passe la voir de temps en temps. Elle n'a plus de contact avec sa famille depuis des années, à part quelques rares téléphones avec son frère et sa sœur. L'expert explique enfin qu'il est possible que la phobie sociale ait précisément pris de l'ampleur ces dernières années du fait que la recourante a réussi en bonne partie à s'abstenir de consommer de l'alcool, substance qui est le meilleur remède à court terme pour lutter contre l'anxiété sociale. Il convient dès lors d'admettre une aggravation de ce trouble, ce qui explique que la recourante ait pu néanmoins exercer dans le passé, avec l'aide de l'alcool, des professions telles que danseuse et entraîneuse dans un bar de champagne. Ces activités professionnelles ne sont donc pas incompatibles avec le diagnostic de phobie sociale posée aujourd'hui par l'expert judiciaire. Au vu de ces éléments, le Tribunal de céans estime que les conclusions de l'expertise du Dr G__________, lesquelles correspondent de surcroît en large partie à celles du médecin traitant, sont convaincantes et s'y rallie. Il admet ainsi une incapacité de travail totale.</w:t>
      </w:r>
    </w:p>
    <w:p>
      <w:r>
        <w:rPr>
          <w:b/>
        </w:rPr>
        <w:t>E. 8</w:t>
      </w:r>
    </w:p>
    <w:p>
      <w:r>
        <w:t>En ce qui concerne le début de l'incapacité de travail, la recourante a manifesté son accord avec l'expertise, par écritures du 1er septembre 2009. Partant, il y a lieu d'admettre qu'elle est en incapacité totale de travailler au plus tard depuis janvier 2008. Elle remplit dès lors les conditions légales pour bénéficier d'une rente entière à partir de janvier 2009, soit une année après le début de l'incapacité de travail. Il sied par ailleurs de constater que plus de six mois se sont écoulés depuis le dépôt de la demande de prestations en date du 4 septembre 2004. Cela étant, il conviendrait en principe de constater qu'au moment de la décision du 18 septembre 2008, la recourante ne remplissait pas encore les conditions légales pour l'octroi d'une rente d'invalidité. Cependant, la procédure juridictionnelle administrative peut être étendue, pour des motifs d'économie de procédure, à une question en état d'être jugée qui excède l'objet de la contestation, soit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122 V 34 consid. 2a p. 36 et les références). En l'espèce, la question de la capacité de travail après le 18 septembre 2008 concerne le même contexte de fait. L'intimé a par ailleurs eu la possibilité de</w:t>
      </w:r>
    </w:p>
    <w:p>
      <w:r>
        <w:t>A/3703/2008 - 14/15 - s'exprimer à ce sujet, en se déterminant sur l'expertise. Partant, il y a lieu d'étendre l'objet du litige encore au droit aux prestations après que la décision litigieuse ait été rendue.</w:t>
      </w:r>
    </w:p>
    <w:p>
      <w:r>
        <w:rPr>
          <w:b/>
        </w:rPr>
        <w:t>E. 9</w:t>
      </w:r>
    </w:p>
    <w:p>
      <w:r>
        <w:t>Au vu de ce qui précède, le recours sera admis.</w:t>
      </w:r>
    </w:p>
    <w:p>
      <w:r>
        <w:rPr>
          <w:b/>
        </w:rPr>
        <w:t>E. 10</w:t>
      </w:r>
    </w:p>
    <w:p>
      <w:r>
        <w:t>L'émolument de justice, fixé à 200 fr., est mis à la charge de l'intimé qui succombe.</w:t>
      </w:r>
    </w:p>
    <w:p>
      <w:r>
        <w:t>A/3703/2008 - 15/15 -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