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ATAS/1240/2007 vom 7. November 2007</w:t>
      </w:r>
    </w:p>
    <w:p>
      <w:r>
        <w:t>GE Cour de justice, 2007-11-07, FR</w:t>
      </w:r>
    </w:p>
    <w:p>
      <w:r>
        <w:rPr>
          <w:b/>
        </w:rPr>
        <w:t xml:space="preserve">Quelle: </w:t>
      </w:r>
      <w:r>
        <w:t>https://mcp.opencaselaw.ch/entscheid/ge_gerichte_ATAS_1240_2007</w:t>
      </w:r>
    </w:p>
    <w:p>
      <w:r>
        <w:t>FR: GE_GERICHTE ATAS/1240/2007 du 7 novembre 2007</w:t>
      </w:r>
    </w:p>
    <w:p>
      <w:r>
        <w:t>IT: GE_GERICHTE ATAS/1240/2007 del 7 novembre 2007</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dans les forme et délai prévus par la loi, le recours déposé le 27 juillet 2007 contre la décision sur opposition du 18 juillet 2007 est recevable (art. 56 et 60 LPGA).</w:t>
      </w:r>
    </w:p>
    <w:p>
      <w:r>
        <w:rPr>
          <w:b/>
        </w:rPr>
        <w:t>E. 3</w:t>
      </w:r>
    </w:p>
    <w:p>
      <w:r>
        <w:t>Le litige porte sur l'existence d'un rapport de causalité naturelle entre l’accident du 28 juillet 1999 et les troubles crânio-cervicaux annoncés au mois de septembre 2006.</w:t>
      </w:r>
    </w:p>
    <w:p>
      <w:r>
        <w:rPr>
          <w:b/>
        </w:rPr>
        <w:t>E. 4</w:t>
      </w:r>
    </w:p>
    <w:p>
      <w:r>
        <w:t>A titre liminaire, le Tribunal de céans observe qu’il n’est en l’espèce pas contesté que le 28 juillet 1999, l’assuré a été victime d’un accident professionnel, de sorte que l’assurance-accidents est en principe tenue d’allouer ses prestations (art. 6</w:t>
      </w:r>
    </w:p>
    <w:p>
      <w:r>
        <w:t>A/2925/2007 - 6/11 - LAA), à la condition qu’il y ait notamment un rapport de causalité naturelle entre l’atteinte à la santé et l’accident.</w:t>
      </w:r>
    </w:p>
    <w:p>
      <w:r>
        <w:rPr>
          <w:b/>
        </w:rPr>
        <w:t>E. 5</w:t>
      </w:r>
    </w:p>
    <w:p>
      <w:r>
        <w:t>a) L'exigence d'un rapport de causalité naturelle entre un accident assuré et une atteinte à la santé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c) Par ailleurs, le seul fait que des symptômes douloureux ne se soient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 On ajoutera que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w:t>
      </w:r>
    </w:p>
    <w:p>
      <w:r>
        <w:t>A/2925/2007 - 7/11 - apparemment guérie produit, au cours d'un laps de temps prolongé, des modifications organiques ou psychiques qui conduisent souvent à un état pathologique différent (ATF 123 V 138 consid. 3a et les références). Les rechutes et suites tardives se rattachent donc par définition à un événement accidentel effectif.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(ATFA non publié du 6 janvier 2006, U 278/04, consid. 2.1 ;: ATF 118 V 296 consid. 2c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(ATFA non publié du 20 février 2006, U 249/05, consid. 1; RAMA 1997 n° U 275 p. 191 consid. 1c).</w:t>
      </w:r>
    </w:p>
    <w:p>
      <w:r>
        <w:rPr>
          <w:b/>
        </w:rPr>
        <w:t>E. 6</w:t>
      </w:r>
    </w:p>
    <w:p>
      <w:r>
        <w:t>a) La plupart des éventualités assurées supposent l'instruction de faits d'ordre médical. Or, pour pouvoir établir le droit des assurés à des prestations, l'administration ou le juge a besoin de documents que le médecin doit lui fournir. L'appréciation des données médicales revêt ainsi une importance d'autant plus grande dans ce contexte. La jurisprudence a donc précisé les tâches des médecins, par exemple lors de l'examen du lien de causalité naturelle entre l'événement accidentel et la survenance du dommage (ATF 122 V 158 consid. 1b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et les références). c) Sans remettre en cause le principe de la libre appréciation des preuves, le Tribunal fédéral des assurances a posé des lignes directrices en ce qui concerne la</w:t>
      </w:r>
    </w:p>
    <w:p>
      <w:r>
        <w:t>A/2925/2007 - 8/11 - manière d'apprécier certains types d'expertises ou de rapports médicaux. Le juge peut, notamment,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3b/bb et cc).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et 208 consid. 6b; VSI 1999 consid. 4d p. 230). e) On peut rappeler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7</w:t>
      </w:r>
    </w:p>
    <w:p>
      <w:r>
        <w:t>a) En l’espèce, il ressort du rapport établi par Drs H____________ et I____________ que le recourant s’est adressé à la Permanence médicale et chirurgicale de Cornavin le 28 juillet 1999 pour recevoir les premiers soins suite à un accident en relation avec une poutre pesante ayant provoqué une distorsion en hyper extension du pouce gauche. Un examen radiologique de la main gauche fut effectué à cette occasion. Les soins prodigués ont consisté en une immobilisation sur attelle du pouce et traitement par anti-inflammatoires topique. Une semaine plus tard, un examen de contrôle a eu lieu lors duquel il fut constaté une nette amélioration au niveau de la main gauche avec des mouvements libres et presque indolores. Une reprise de travail à 100% est attestée à cette occasion. Selon les médecins de la Permanence, l’assuré n’avait fait aucune mention de plaintes concernant un choc sur le crâne ou de douleurs du rachis, et ce ni à l’occasion de la première consultation, ni lors de l’examen de contrôle. Quant au Dr B____________, médecin traitant entre le 15 août 1997 et le 21 septembre 2001, il a affirmé que le recourant, en traitement pour des dorso-lombalgies présentes depuis 1995 à l’origine de plusieurs périodes d’incapacités de travail, ne lui avait jamais signalé d’accident. Aucune allusion à un événement accidentel quelconque ou à des troubles crânio-cervicaux ne ressort non plus du rapport du Dr</w:t>
      </w:r>
    </w:p>
    <w:p>
      <w:r>
        <w:t>A/2925/2007 - 9/11 - E____________, rhumatologue, qui après avoir examiné le recourant en 2001, évoque la présence de lombalgies chroniques, dans le cadre de troubles statiques et dégénératifs modérés du rachis lombaire, sans évolution significative entre 1997 et 2001. b) Au vu de l’ensemble de ces documents, il apparaît qu’aucun des médecins consultés par le recourant à l’époque de l’accident du 28 juillet 1999 ne mentionne d’événement accidentel concernant la tête ou la présence de douleurs crânio- cervicales. En particulier, les médecins ayant prodigué les premiers soins le 28 juillet 1999, ont déclaré qu’il n’y avait dans leur dossier aucune trace d’une quelconque allusion concernant un choc sur le crâne ou de douleurs du rachis. c) Par conséquent, l’appréciation médicale du Dr G____________, médecin- conseil de la SUVA, selon laquelle il paraît assez clair que les troubles crânio- cervicaux exprimés par l’assuré en 2006 ne concernent absolument pas l’accident du 28 juillet 1999, est convaincante et n’est d’ailleurs contredite par aucune autre pièce. L’évocation en septembre 2006, par le Dr A____________, médecin traitant depuis 2002, de douleurs à la nuque récentes (« Dans ces derniers mois […]»), ne permet aucunement de mettre en relation de manière objective ces troubles avec l’accident de 1999, le Dr A____________ ayant précisé d’ailleurs lui-même que c’était son patient qui estimait que ces troubles étaient à mettre en relation avec son accident du 28 juillet 1999.</w:t>
      </w:r>
    </w:p>
    <w:p>
      <w:r>
        <w:rPr>
          <w:b/>
        </w:rPr>
        <w:t>E. 8</w:t>
      </w:r>
    </w:p>
    <w:p>
      <w:r>
        <w:t>Dans ces conditions, un lien de causalité naturelle entre l’accident du 28 juillet 1999 et les troubles crânio-cervicaux évoqués par le Dr A____________ en 2006 n’est aucunement établi au degré de la vraisemblance prépondérante, étant rappelé qu’un laps de temps très long s’est écoulé entre l’événement accidentel et l’annonce des troubles crânio-cervicaux.</w:t>
      </w:r>
    </w:p>
    <w:p>
      <w:r>
        <w:rPr>
          <w:b/>
        </w:rPr>
        <w:t>E. 9</w:t>
      </w:r>
    </w:p>
    <w:p>
      <w:r>
        <w:t>a) Si, comme en l'occurrence, un fait n'est pas établi au degré de la vraisemblance prépondérante, mais qu'il apparaît seulement comme une hypothèse possible, l'administration ou le juge, dans le domaine du droit des assurances sociales, n'a pas à statuer en faveur de l'assuré qui entend déduire un droit de l'existence du fait allégué (ATF 126 V 319 consid. 5a p. 322). Le juge n'est pas non plus tenu d'administrer d'autres preuves lorsque, se fondant sur une appréciation consciencieuse des preuves fournies par les investigations auxquelles il doit procéder d'office, il est convaincu que les faits allégués par la partie qui entend en déduire un droit n'apparaissent pas comme les plus vraisemblables (appréciation anticipée des preuves; KIESER, Das Verwaltungsverfahren in der Sozialversicherung, p. 212, no 450; KOELZ/HAENER, Verwaltungsverfahren und Verwaltungsrechtspflege des Bundes, 2ème éd., p. 39, no 111 et p. 117, no 320; GYGI, Bundesverwaltungsrechtspflege, 2ème éd., p. 274; cf. aussi ATF 122 II 464 consid. 4a p. 469, 122 III 219 consid. 3c p. 223, 120 Ib 224 consid. 2b p. 229, 119 V 335 consid. 3c p. 344 et la référence).</w:t>
      </w:r>
    </w:p>
    <w:p>
      <w:r>
        <w:t>A/2925/2007 - 10/11 - b) Les pièces médicales versées au dossier permettant de statuer en pleine connaissance de cause sur le présent litige, la mise en œuvre d'une expertise complémentaire s'avère superflue, le Tribunal de céans pouvant donc s’en dispenser par appréciation anticipée des preuves (cf. ATF 122 II 469 consid. 4a, 122 III 223 consid. 3c, 120 Ib 229 consid. 2b, 119 V 344 consid. 3c et la référence).</w:t>
      </w:r>
    </w:p>
    <w:p>
      <w:r>
        <w:rPr>
          <w:b/>
        </w:rPr>
        <w:t>E. 10</w:t>
      </w:r>
    </w:p>
    <w:p>
      <w:r>
        <w:t>Aussi, l’intimée était-elle en droit, en l'absence de lien de causalité naturelle entre les troubles crânio-cervicaux allégués et l'accident du 28 juillet 1999, de refuser d'allouer ses prestations. Le recours doit ainsi être rejeté.</w:t>
      </w:r>
    </w:p>
    <w:p>
      <w:r>
        <w:t>A/2925/2007 - 11/11 -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