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ATAS/123/2025 vom 28. Februar 2025</w:t>
      </w:r>
    </w:p>
    <w:p>
      <w:r>
        <w:t>GE Cour de justice, 2025-02-28, FR</w:t>
      </w:r>
    </w:p>
    <w:p>
      <w:r>
        <w:rPr>
          <w:b/>
        </w:rPr>
        <w:t xml:space="preserve">Quelle: </w:t>
      </w:r>
      <w:r>
        <w:t>https://mcp.opencaselaw.ch/entscheid/ge_gerichte_ATAS_123_2025</w:t>
      </w:r>
    </w:p>
    <w:p>
      <w:r>
        <w:t>FR: GE_GERICHTE ATAS/123/2025 du 28 février 2025</w:t>
      </w:r>
    </w:p>
    <w:p>
      <w:r>
        <w:t>IT: GE_GERICHTE ATAS/123/2025 del 28 febbraio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Le délai de recours est de 30 jours (art. 56 LPGA, applicable par le renvoi de l’art. 1 al. 1 LAA ; art. 62 al. 1 de la de loi sur la procédure administrative du 12 septembre 1985 [LPA - E 5 10]). Le recours a été interjeté dans la forme et le délai prévus par la loi (art. 56 ss LPGA et 62 ss LPA).</w:t>
      </w:r>
    </w:p>
    <w:p>
      <w:r>
        <w:rPr>
          <w:b/>
        </w:rPr>
        <w:t>E. 1.3</w:t>
      </w:r>
    </w:p>
    <w:p>
      <w:r>
        <w:t>Selon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En l’occurrence, dans son recours, l’assuré se limite à contester, de manière toute générale, la valeur probante du rapport du 17 juillet 2024. Il ne critique toutefois aucun élément de l’appréciation du médecin, se contentant de solliciter un délai pour produire un document médical. Il n’a toutefois pas réagi dans le délai accordé, puis prolongé d’office, pour compléter son recours. La question de la recevabilité du recours, faute de motivation, peut toutefois demeurer ouverte vu ce qui suit.</w:t>
      </w:r>
    </w:p>
    <w:p>
      <w:r>
        <w:rPr>
          <w:b/>
        </w:rPr>
        <w:t>E. 2</w:t>
      </w:r>
    </w:p>
    <w:p>
      <w:r>
        <w:t>Le litige porte uniquement sur le taux de l'indemnité pour atteinte à l'intégrité.</w:t>
      </w:r>
    </w:p>
    <w:p>
      <w:r>
        <w:rPr>
          <w:b/>
        </w:rPr>
        <w:t>E. 2.1</w:t>
      </w:r>
    </w:p>
    <w:p>
      <w:r>
        <w:t>Aux termes de l'art. 24 LAA, si par suite d'un accident, l'assuré souffre d'une atteinte importante et durable à son intégrité physique, mentale ou psychique, il a</w:t>
      </w:r>
    </w:p>
    <w:p>
      <w:r>
        <w:t>A/3052/2024 - 5/8 -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1re phrase) ; elle ne doit pas excéder le montant maximum du gain annuel assuré à l'époque de l'accident et elle est échelonnée selon la gravité de l'atteinte à l'intégrité (al. 1, 2e phrase). Le Conseil fédéral édicte des prescriptions détaillées sur le calcul de l'indemnité (al. 2).</w:t>
      </w:r>
    </w:p>
    <w:p>
      <w:r>
        <w:rPr>
          <w:b/>
        </w:rPr>
        <w:t>E. 2.2</w:t>
      </w:r>
    </w:p>
    <w:p>
      <w:r>
        <w:t>Selon l’art. 36 de l’ordonnance sur l'assurance-accidents du 20 décembre 1982 (OLAA - RS 832.202), édicté conformément à la délégation de compétence de l’art. 25 al. 2 LAA, une atteinte à l'intégrité est réputée durable lorsqu'il est prévisible qu'elle subsistera avec au moins la même gravité pendant toute la vie (al. 1, 1re phrase) ; elle est réputée importante lorsque l’intégrité physique ou mentale subit, indépendamment de la diminution de la capacité de gain, une altération évidente ou grave (al. 1, 2e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1re phrase). Il est équitablement tenu compte des aggravations prévisibles de l'atteinte à l'intégrité ; une révision n'est possible qu'en cas exceptionnel, si l'aggravation est importante et n'était pas prévisible (al. 4).</w:t>
      </w:r>
    </w:p>
    <w:p>
      <w:r>
        <w:rPr>
          <w:b/>
        </w:rPr>
        <w:t>E. 2.3</w:t>
      </w:r>
    </w:p>
    <w:p>
      <w:r>
        <w:t>L'indemnité pour atteinte à l'intégrité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et les références). Elle se caractérise par le fait qu'elle est exclusivement fixée en fonction de facteurs médicaux objectifs, valables pour tous les assurés, et sans égard à des considérations d'ordre subjectif ou personnel. En cela, elle se distingue de l'indemnité pour tort moral du droit civil, qui procède de l'estimation individuelle d'un dommage immatériel au regard des circonstances particulières du cas. Cela signifie que pour tous les assurés présentant un status médical identique, l'atteinte à l'intégrité est la même, et sans égard à des considérations d'ordre subjectif ou personnel (ATF 115 V 137 consid. 1 ; arrêts du Tribunal fédéral 8C_656/2022 du 5 juin 2023 consid. 3.2 et les références ; 8C_703/2008 du 25 septembre 2009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w:t>
      </w:r>
    </w:p>
    <w:p>
      <w:r>
        <w:t>A/3052/2024 - 6/8 - abstraction faite des facteurs subjectifs (ATF 115 V 147 consid. 1 ; 113 V 218 consid. 4b et les références ; voir aussi 125 II 169 consid. 2d).</w:t>
      </w:r>
    </w:p>
    <w:p>
      <w:r>
        <w:rPr>
          <w:b/>
        </w:rPr>
        <w:t>E. 2.4</w:t>
      </w:r>
    </w:p>
    <w:p>
      <w:r>
        <w:t>Le taux d'une atteinte à l'intégrité doit être évalué exclusivement sur la base de constatations médicales (ATF 115 V 147 consid. 1 ; 113 V 218 consid. 4b ; RAMA 2004 p. 415 ; arrêt du Tribunal fédéral U 134/03 du 12 janvier 2004 consid. 5.2). Il incombe, dans un premier temps, au médecin de se prononcer, en tenant compte des atteintes énumérées à l'annexe 3 de l'OLAA et dans les tables de la CNA,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les références). L’annexe 3 à l'OLAA comporte un barème, reconnu conforme à la loi et non exhaustif (ATF 124 V 29 consid. 1b et les références ; 124 V 209 consid. 4a/bb et les références ; arrêt du Tribunal fédéral 8C_745/2022 du 29 juin 2023 consid. 3.2 et la référence), des lésions fréquentes et caractéristiques, évaluées en pour cent (ATF 124 V 209 consid. 4bb).</w:t>
      </w:r>
    </w:p>
    <w:p>
      <w:r>
        <w:rPr>
          <w:b/>
        </w:rPr>
        <w:t>E. 2.5</w:t>
      </w:r>
    </w:p>
    <w:p>
      <w:r>
        <w:t>Pour les atteintes à l'intégrité spéciales ou qui ne figurent pas dans la liste, le barème est appliqué par analogie, en fonction de la gravité de l'atteinte (ch. 1 al. 2 annexe 3 OLAA).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124 V 209 consid. 4a/cc ; 116 V 156 consid. 3a). Selon la table 5, « Indemnisation des atteintes à l’intégrité selon la LAA », relative à l’atteinte à l ’intégrité résultant d ’arthroses, aucune indemnité n’est prévue en cas d’arthrose légère.</w:t>
      </w:r>
    </w:p>
    <w:p>
      <w:r>
        <w:rPr>
          <w:b/>
        </w:rPr>
        <w:t>E. 2.6</w:t>
      </w:r>
    </w:p>
    <w:p>
      <w:r>
        <w:t>En l’occurrence, le recourant se limite à indiquer, de manière toute générale, qu’il conteste la valeur probante du rapport médical du médecin d’assurance du</w:t>
      </w:r>
    </w:p>
    <w:p>
      <w:r>
        <w:t>A/3052/2024 - 7/8 - 17 juillet 2024. Il ne formule toutefois aucune critique à l’encontre du rapport établi par le médecin et ne cherche pas à démontrer au moyen d’une argumentation précise et étayée que ses conclusions seraient erronées. En dépit du délai accordé, puis prolongé, par la chambre de céans, pour compléter son recours et produire des pièces, il n’a apporté aucun élément médical concret permettant de mettre en doute l’appréciation du Dr B______. La détermination de l’indemnité pour atteinte à l'intégrité étant une question médicale, la chambre de céans ne dispose d’aucun élément de cet ordre qui justifierait de s’écarter de l’évaluation de ce médecin dans le cas d’espèce. Celle-ci a du reste été établie en pleine connaissance du dossier et après examen de l’assuré. Ses conclusions, motivées et convaincantes, résultent d’une étude fouillée et approfondie du cas, si bien qu’elle doit se voir attribuer une pleine valeur probante. C’est ainsi à raison que, sur la base des pièces au dossier, en particulier de l’évaluation médicale du Dr B______ du 17 juillet 2024, l’intimée a retenu un taux d’atteinte à l’intégrité de 17%, soit 12% en raison d’une arthrose tibiotarsienne moyenne et 5% en raison d’une allodynie externe.</w:t>
      </w:r>
    </w:p>
    <w:p>
      <w:r>
        <w:rPr>
          <w:b/>
        </w:rPr>
        <w:t>E. 3</w:t>
      </w:r>
    </w:p>
    <w:p>
      <w:r>
        <w:t>Au vu de ce qui précède, le recours est rejeté. Pour le surplus, la procédure est gratuite (art. 61 let. fbis LPGA a contrario).</w:t>
      </w:r>
    </w:p>
    <w:p>
      <w:r>
        <w:t>******</w:t>
      </w:r>
    </w:p>
    <w:p>
      <w:r>
        <w:t>A/3052/2024 - 8/8 -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