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ATAS/123/2014 vom 29. Januar 2014</w:t>
      </w:r>
    </w:p>
    <w:p>
      <w:r>
        <w:t>GE Cour de justice, 2014-01-29, FR</w:t>
      </w:r>
    </w:p>
    <w:p>
      <w:r>
        <w:rPr>
          <w:b/>
        </w:rPr>
        <w:t xml:space="preserve">Quelle: </w:t>
      </w:r>
      <w:r>
        <w:t>https://mcp.opencaselaw.ch/entscheid/ge_gerichte_ATAS_123_2014</w:t>
      </w:r>
    </w:p>
    <w:p>
      <w:r>
        <w:t>FR: GE_GERICHTE ATAS/123/2014 du 29 janvier 2014</w:t>
      </w:r>
    </w:p>
    <w:p>
      <w:r>
        <w:t>IT: GE_GERICHTE ATAS/123/2014 del 29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 et 60 LPGA).</w:t>
      </w:r>
    </w:p>
    <w:p>
      <w:r>
        <w:rPr>
          <w:b/>
        </w:rPr>
        <w:t>E. 3</w:t>
      </w:r>
    </w:p>
    <w:p>
      <w:r>
        <w:t>La Cour de céans doit se prononcer préalablement sur la requête de suspension de la procédure, étant précisé que l’intimé s’y oppose.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 l’espèce, force est de constater que les conditions de l’art. 14 LPA ne sont pas remplies, dès lors que le sort de la présente procédure ne dépend pas de la solution d’une question pendante devant une autre autorité. Ainsi que le recourant l’admet, la Cour de céans doit se prononcer sur le bien-fondé de la décision querellée au regard de l’ensemble des faits existants jusqu’au moment où elle a été rendue (ATF 131 V 242 consid. 2.1 p. 243). Pour le surplus, il est rappelé que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w:t>
      </w:r>
    </w:p>
    <w:p>
      <w:r>
        <w:t>A/3838/2013 - 5/6 - delà de la période délimitée par la décision litigieuse (élargissement temporel; ATF 130 V 138 consid. 2.1 p. 140).</w:t>
      </w:r>
    </w:p>
    <w:p>
      <w:r>
        <w:rPr>
          <w:b/>
        </w:rPr>
        <w:t>E. 4</w:t>
      </w:r>
    </w:p>
    <w:p>
      <w:r>
        <w:t>Au vu de ce qui précède, la suspension de la procédure ne se justifie pas, de sorte que la requête du recourant doit être rejetée.</w:t>
      </w:r>
    </w:p>
    <w:p>
      <w:r>
        <w:t>A/3838/2013 - 6/6 -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