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ATAS/1239/2020 vom 17. Dezember 2020</w:t>
      </w:r>
    </w:p>
    <w:p>
      <w:r>
        <w:t>GE Cour de justice, 2020-12-17, FR</w:t>
      </w:r>
    </w:p>
    <w:p>
      <w:r>
        <w:rPr>
          <w:b/>
        </w:rPr>
        <w:t xml:space="preserve">Quelle: </w:t>
      </w:r>
      <w:r>
        <w:t>https://mcp.opencaselaw.ch/entscheid/ge_gerichte_ATAS_1239_2020</w:t>
      </w:r>
    </w:p>
    <w:p>
      <w:r>
        <w:t>FR: GE_GERICHTE ATAS/1239/2020 du 17 décembre 2020</w:t>
      </w:r>
    </w:p>
    <w:p>
      <w:r>
        <w:t>IT: GE_GERICHTE ATAS/1239/2020 del 17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Sur le plan de la recevabilité, il convient de constater que le médecin traitant de l’assuré a interpellé la chambre de céans pour contester la décision querellée, dans le délai de 30 jours, mais que la procuration l’y habilitant n’a jamais été fournie par l’assuré ou le médecin. La question de la recevabilité du recours peut toutefois rester ouverte, dans la mesure où le recours doit, en tous les cas, être rejeté pour les raisons développées infra.</w:t>
      </w:r>
    </w:p>
    <w:p>
      <w:r>
        <w:rPr>
          <w:b/>
        </w:rPr>
        <w:t>E. 3</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w:t>
      </w:r>
    </w:p>
    <w:p>
      <w:r>
        <w:t>A/638/2020 - 7/9 -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4</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t>A/638/2020 - 8/9 -</w:t>
      </w:r>
    </w:p>
    <w:p>
      <w:r>
        <w:rPr>
          <w:b/>
        </w:rPr>
        <w:t>E. 5</w:t>
      </w:r>
    </w:p>
    <w:p>
      <w:r>
        <w:t>En l’espèce, la demande de prestations d’invalidité déposée par le recourant en date du 9 octobre 2019 n’était accompagnée d’aucun document médical pouvant rendre plausible une éventuelle péjoration de l’état de santé ou de la situation professionnelle du recourant. Il était, certes, indiqué que le recourant se trouvait en incapacité de travail à 100% dès le 1er juillet 2019 jusqu’au jour du dépôt de la demande, mais aucun certificat médical n’était annexé. Les renseignements sur l’état de santé étaient les mêmes que ceux fournis dans la demande du 10 juillet 2018 ; ils se rapportaient aux mêmes troubles de la santé, soit ceux consécutifs à l’opération neurochirurgicale intervenue en 2012, tout en étant plus détaillés sur la description des symptômes ressentis par l’assuré. De même, la situation professionnelle était identique, soit un emploi auprès des TPG à 80%. Les documents médicaux ont été produits en annexe au courrier du Dr B______ du 17 février 2020, soit postérieurement à l’instruction de la demande ayant abouti à la décision querellée du 16 janvier 2020. Étant rappelé que l’intimé avait spécifiquement attiré l’attention de l’assuré, par courrier du 10 octobre 2019, sur la nécessité de fournir des documents médicaux à l’appui de sa demande et l’avait informé des conséquences si les pièces n’étaient pas fournies dans le délai fixé. Le recourant n’a pas réagi au courrier de l’OAI, pas plus qu’il ne s’est manifesté pendant le laps de temps séparant le projet de décision du 22 novembre 2019 et la décision du 16 janvier 2020. Ce n’est qu’en date du 30 janvier et du 13 février 2020 que les documents médicaux ont été rédigés et transmis à la chambre de céans, annexés au courrier du 17 février 2020 du Dr B______. La chambre de céans ne peut examiner la situation qu’au regard de l’état de fait qui existait au moment où l’intimé a statué, soit au 16 janvier 2020. Force est de constater qu’aucun document médical pouvant rendre plausible l’aggravation de l’état de santé du recourant n’avait été transmis à l’intimé, à ce moment. Étant ici rappelé que la précédente décision de refus de rente datait du mois de février 2019 et qu’un délai de moins d’un an s’était écoulé entre les deux décisions, ce qui conduit à se montrer plus exigeant quant à la plausibilité de la péjoration de l’état de santé alléguée par le recourant.</w:t>
      </w:r>
    </w:p>
    <w:p>
      <w:r>
        <w:rPr>
          <w:b/>
        </w:rPr>
        <w:t>E. 6</w:t>
      </w:r>
    </w:p>
    <w:p>
      <w:r>
        <w:t>Au vu de ce qui précède, le recours sera rejeté et le recourant sera condamné au paiement d'un émolument de CHF 200.- (art. 69 al. 1bis LAI).</w:t>
      </w:r>
    </w:p>
    <w:p>
      <w:r>
        <w:t>A/638/2020 - 9/9 -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