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ATAS/1238/2007 vom 8. November 2007</w:t>
      </w:r>
    </w:p>
    <w:p>
      <w:r>
        <w:t>GE Cour de justice, 2007-11-08, FR</w:t>
      </w:r>
    </w:p>
    <w:p>
      <w:r>
        <w:rPr>
          <w:b/>
        </w:rPr>
        <w:t xml:space="preserve">Quelle: </w:t>
      </w:r>
      <w:r>
        <w:t>https://mcp.opencaselaw.ch/entscheid/ge_gerichte_ATAS_1238_2007</w:t>
      </w:r>
    </w:p>
    <w:p>
      <w:r>
        <w:t>FR: GE_GERICHTE ATAS/1238/2007 du 8 novembre 2007</w:t>
      </w:r>
    </w:p>
    <w:p>
      <w:r>
        <w:t>IT: GE_GERICHTE ATAS/1238/2007 del 8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Interjeté dans les forme et délai prévus par la loi, le recours est recevable (art. 56 à 60 LPGA).</w:t>
      </w:r>
    </w:p>
    <w:p>
      <w:r>
        <w:rPr>
          <w:b/>
        </w:rPr>
        <w:t>E. 3</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étant donné que la nouvelle demande de prestations a été déposée en avril 2006, le présent recours concerne le droit à des prestations postérieures à l’entrée en vigueur de la LPGA. En conséquence, sur le plan matériel, cette dernière s’applique au présent litige (ATF 117 V 93 consid. 6b, 112 V 360 consid. 4a; RAMA 1998 KV 37 p. 316 consid. 3b).</w:t>
      </w:r>
    </w:p>
    <w:p>
      <w:r>
        <w:t>A/417/2007 - 8/11 -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Enfin, la loi fédérale du 16 décembre 2005 modifiant la loi fédérale sur l'assurance- invalidité est entrée en vigueur le 1er juillet 2006 (RO 2006 2003), apportant des modifications qui concernent notamment la procédure conduite devant le Tribunal cantonal des assurances (art. 52, 58 et 61 let. a LPGA). Le présent cas est soumis au nouveau droit, du moment que le recours de droit administratif a été formé après le 1er juillet 2006 (ch. II let. c des dispositions transitoires relatives à la modification du 16 décembre 2005).</w:t>
      </w:r>
    </w:p>
    <w:p>
      <w:r>
        <w:rPr>
          <w:b/>
        </w:rPr>
        <w:t>E. 4</w:t>
      </w:r>
    </w:p>
    <w:p>
      <w:r>
        <w:t>Le litige porte sur la question de savoir si c'est à juste titre que l'intimé a refusé d'entrer en matière sur la demande de prestations présentée par l'assurée en avril 2006.</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w:t>
      </w:r>
    </w:p>
    <w:p>
      <w:r>
        <w:t>A/417/2007 - 9/11 -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En l'espèce, l'intimé a refusé d'entrer en matière au motif que l'assurée n'a pas rendu plausible que son invalidité s'est modifiée de manière à influencer ses droits. Le Tribunal de céans est par conséquent autorisé à examiner comment l'administration a tranché la question de l'entrée en matière. Il convient donc d’examiner si la demande de prestations satisfaisait aux exigences posées quant au caractère plausible d'une modification déterminante des faits (art. 87 al. 3 et 4 RAI).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66 consid. 2, et 77 consid. 3.2.3 relatif à l'étendue de l'analogie entre la révision de la rente et la nouvelle demande par rapport aux bases de comparaison dans le temps).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et la référence sous note n° 27). En l'espèce, il est vrai que seulement deux mois se sont écoulés entre la décision litigieuse et la nouvelle demande de la recourante. L'Office était donc en droit de se montrer d'autant plus exigeant pour apprécier le caractère plausible de ses allégations que le laps de temps qui s'était écoulé depuis sa décision antérieure était</w:t>
      </w:r>
    </w:p>
    <w:p>
      <w:r>
        <w:t>A/417/2007 - 10/11 - bref (ATF 109 V 114 consid. 2b; voir aussi ATF 130 V 70 consid. 6.2). Cependant, force est de constater - étant rappelé qu'il n'est nul besoin que la preuve soit pleinement rapportée qu'une modification déterminante est survenue depuis le moment auquel la décision refusant les prestations a été rendue - que le Dr E___________, dans son courrier du 28 avril 2006, fait clairement état d'une aggravation de l'état de santé de l'assurée. Peu importe à cet égard que cette aggravation soit réactionnelle ou non à la décision de suppression de la rente comme semble le penser le Dr F___________. Seule importe la question de savoir si cette aggravation médicalement attestée est susceptible d'influencer le droit aux prestations de la recourante. Or, tel est le cas : l'ensemble des éléments mentionnés par le Dr E___________ (humeur déprimée, perte d'intérêt et de plaisir, diminution de l'énergie et fatigabilité accrue, perte de confiance et d'estime de soi, altération de la capacité à penser et à se concentrer, perturbation du sommeil, incapacité à faire face aux responsabilités habituelles, ralentissement psychomoteur, complaintes physiques multiples et variables) sont suffisants pour admettre que la recourante a rendu plausible une aggravation de sa santé psychique susceptible d'influer sur son droit aux prestations. Autre est la question de savoir si cette aggravation a effectivement entraîné une modification de ses droits. Il apparaît que l'intimé aurait donc dû entrer en matière et donner suite à la demande du Dr E___________ de pouvoir remplir un formulaire de demande de rente pour problèmes psychiques en bonne et due forme lui permettant d'examiner la nouvelle demande au fond. Eu égard aux considérations qui précèdent, le recours est admis et la cause renvoyée à l'intimé afin que ce dernier, après être entré en matière, se détermine sur l'éventuelle incidence de l'aggravation médicalement attestée sur le droit aux prestations de la recourante.</w:t>
      </w:r>
    </w:p>
    <w:p>
      <w:r>
        <w:t>A/417/2007 - 11/11 -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