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ATAS/1237/2021 vom 1. Dezember 2021</w:t>
      </w:r>
    </w:p>
    <w:p>
      <w:r>
        <w:t>GE Cour de justice, 2021-12-01, FR</w:t>
      </w:r>
    </w:p>
    <w:p>
      <w:r>
        <w:rPr>
          <w:b/>
        </w:rPr>
        <w:t xml:space="preserve">Quelle: </w:t>
      </w:r>
      <w:r>
        <w:t>https://mcp.opencaselaw.ch/entscheid/ge_gerichte_ATAS_1237_2021</w:t>
      </w:r>
    </w:p>
    <w:p>
      <w:r>
        <w:t>FR: GE_GERICHTE ATAS/1237/2021 du 1 décembre 2021</w:t>
      </w:r>
    </w:p>
    <w:p>
      <w:r>
        <w:t>IT: GE_GERICHTE ATAS/1237/2021 del 1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point de savoir si c'est à juste titre que l'intimée a refusé d'entrer en matière sur la demande d'indemnité en cas de RHT formée par la recourante pour le mois de juin 2020.</w:t>
      </w:r>
    </w:p>
    <w:p>
      <w:r>
        <w:t>A/3279/2021 - 4/7 -</w:t>
      </w:r>
    </w:p>
    <w:p>
      <w:r>
        <w:rPr>
          <w:b/>
        </w:rPr>
        <w:t>E. 4</w:t>
      </w:r>
    </w:p>
    <w:p>
      <w:r>
        <w:t>Interjeté dans la forme et le délai prévus par la loi, le recours est recevable (art. 56 ss LPGA et 62 ss LPA).</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w:t>
      </w:r>
    </w:p>
    <w:p>
      <w:r>
        <w:rPr>
          <w:b/>
        </w:rPr>
        <w:t>E. 5.2</w:t>
      </w:r>
    </w:p>
    <w:p>
      <w:r>
        <w:t>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Selon l'art. 38 al. 1 LACI, dans le délai de trois mois à compter de l’expiration de chaque période de décompte, l’employeur fait valoir auprès de la caisse qu’il a désignée l’ensemble des prétentions à indemnité pour les travailleurs de son entreprise. Selon l'al. 3, l'employeur remet à cet effet à la caisse : a. les documents nécessaires à la poursuite de l’examen du droit à l’indemnité et au calcul de celle- 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Aux termes de l'art. 39 al. 3 LACI, les indemnités que l’employeur ne prétend pas, dans le délai prévu à l’art. 38 al. 1, ne lui sont pas remboursées. 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Selon la jurisprudence, ce délai commence à courir à l'expiration de la période de décompte en cause, cela indépendamment du point de savoir si l'autorité cantonale a déjà statué sur le droit aux prestations (ATF 124 V 75). 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w:t>
      </w:r>
    </w:p>
    <w:p>
      <w:r>
        <w:t>A/3279/2021 - 5/7 -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 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124 V 372 consid. 3b p. 375, cf. aussi Anne-Sylvie DUPONT, in Commentaire romand, Loi sur la partie générale des assurances sociales, 2018, n. 8 s. ad art. 39 LPGA).</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w:t>
      </w:r>
    </w:p>
    <w:p>
      <w:r>
        <w:t>A/3279/2021 - 6/7 -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7.1</w:t>
      </w:r>
    </w:p>
    <w:p>
      <w:r>
        <w:t>Dans le cas présent, la recourante soutient avoir adressé le 15 juillet 2020 à la caisse un décompte pour le mois de juin 2020. L'intimée conteste avoir reçu cette demande avant le 19 janvier 2021 et il ne ressort pas de son dossier que tel aurait été le cas. Force est de constater que la recourante n’a pas été en mesure de prouver l’envoi de son décompte le 15 juillet 2020. Le fait que le décompte ait été rempli le 15 juillet 2020 ne suffit pas à attester de son envoi effectif à cette date, pas plus le fait que les précédents décomptes étaient bien parvenus à l’intimée. Le fardeau de la preuve incombant à la recourante, il convient de retenir que le décompte pour le mois de juin 2020 a été adressé à l’intimée pour la première fois le 19 janvier 2021 par courrier électronique. Le délai de préemption prévu à l’art. 38 al. 1 LACI arrivait à l’échéance le 30 septembre 2020, soit trois mois après la fin du mois de juin 2020, de sorte que c’est à juste titre que l’intimée a refusé d’entrer en matière sur la demande de la recourante.</w:t>
      </w:r>
    </w:p>
    <w:p>
      <w:r>
        <w:rPr>
          <w:b/>
        </w:rPr>
        <w:t>E. 7.2</w:t>
      </w:r>
    </w:p>
    <w:p>
      <w:r>
        <w:t>La recourante n’a pas demandé la restitution du délai de péremption ni invoqué un motif de restitution au sens de l’art. 41 LPGA et il n’apparaît pas qu’il puisse y en avoir un.</w:t>
      </w:r>
    </w:p>
    <w:p>
      <w:r>
        <w:rPr>
          <w:b/>
        </w:rPr>
        <w:t>E. 8</w:t>
      </w:r>
    </w:p>
    <w:p>
      <w:r>
        <w:t>Infondé, le recours sera rejeté. Pour le surplus la procédure est gratuite.</w:t>
      </w:r>
    </w:p>
    <w:p>
      <w:r>
        <w:t>* * * * *</w:t>
      </w:r>
    </w:p>
    <w:p>
      <w:r>
        <w:t>A/3279/2021 - 7/7 -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