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ATAS/1237/2020 vom 17. Dezember 2020</w:t>
      </w:r>
    </w:p>
    <w:p>
      <w:r>
        <w:t>GE Cour de justice, 2020-12-17, FR</w:t>
      </w:r>
    </w:p>
    <w:p>
      <w:r>
        <w:rPr>
          <w:b/>
        </w:rPr>
        <w:t xml:space="preserve">Quelle: </w:t>
      </w:r>
      <w:r>
        <w:t>https://mcp.opencaselaw.ch/entscheid/ge_gerichte_ATAS_1237_2020</w:t>
      </w:r>
    </w:p>
    <w:p>
      <w:r>
        <w:t>FR: GE_GERICHTE ATAS/1237/2020 du 17 décembre 2020</w:t>
      </w:r>
    </w:p>
    <w:p>
      <w:r>
        <w:t>IT: GE_GERICHTE ATAS/1237/2020 del 17 dicembre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t>A/515/2019 - 15/24 -</w:t>
      </w:r>
    </w:p>
    <w:p>
      <w:r>
        <w:rPr>
          <w:b/>
        </w:rPr>
        <w:t>E. 3</w:t>
      </w:r>
    </w:p>
    <w:p>
      <w:r>
        <w:t>Le litige porte sur la question de savoir si les troubles de l’épaule gauche sont encore dans un rapport de causalité avec l'événement du 3 février 2018, plus de</w:t>
      </w:r>
    </w:p>
    <w:p>
      <w:r>
        <w:rPr>
          <w:b/>
        </w:rPr>
        <w:t>E. 6</w:t>
      </w:r>
    </w:p>
    <w:p>
      <w:r>
        <w:t>a. Aux termes de l’art. 6 al. 2 LAA dans sa teneur en vigueur depuis le 1er janvier 2017, l’assurance alloue aussi ses prestations pour les lésions corporelles suivantes, pour autant qu'elles ne soient pas dues de manière prépondérante à l'usure ou à une</w:t>
      </w:r>
    </w:p>
    <w:p>
      <w:r>
        <w:t>A/515/2019 - 17/24 - maladie : les fractures (let. a); les déboîtements d'articulations (let. b); les déchirures du ménisque (let. c); les déchirures de muscles (let. d); les élongations de muscles (let. e); les déchirures de tendons (let. f); les lésions de ligaments (let. g);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b.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w:t>
      </w:r>
    </w:p>
    <w:p>
      <w:r>
        <w:t>A/515/2019 - 18/24 -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En vertu de l'art. 36 al. 1 LAA, les prestations pour soins, les remboursements de frais ainsi que les indemnités journalières et les allocations pour impotent ne sont</w:t>
      </w:r>
    </w:p>
    <w:p>
      <w:r>
        <w:t>A/515/2019 - 19/24 -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l'assurée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w:t>
      </w:r>
    </w:p>
    <w:p>
      <w:r>
        <w:t>A/515/2019 - 20/24 -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A/515/2019 - 21/24 -</w:t>
      </w:r>
    </w:p>
    <w:p>
      <w:r>
        <w:rPr>
          <w:b/>
        </w:rPr>
        <w:t>E. 10</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arrêts du Tribunal fédéral 8C_752/2016 du 3 février 2017 consid. 5.2.2 destiné à la publication et 8C_662/2016, déjà cité, consid. 4.3).</w:t>
      </w:r>
    </w:p>
    <w:p>
      <w:r>
        <w:rPr>
          <w:b/>
        </w:rPr>
        <w:t>E. 11</w:t>
      </w:r>
    </w:p>
    <w:p>
      <w:r>
        <w:t>En l’espèce, bien que disputée par le médecin-conseil de l’intimée, soit le Dr G______, la lésion transfixiante du tendon du sus-épineux a été admise par son confrère, le Dr I______, médecin consulté par l’assurance, ainsi que par le médecin de l’assurée, le Dr F______ et par le chirurgien ayant pratiqué l’arthroscopie, soit le Dr H______. La chambre de céans considère la lésion transfixiante du tendon du sus-épineux comme établie et constate ainsi l’existence d’une lésion assimilée au sens de l’art. 6 al. 2 LAA. S’agissant de l’origine de cette lésion, la confrontation du 26 novembre 2020 des Drs I______ et F______, devant la chambre de céans a permis de clarifier la situation et d’apprécier les arguments en faveur d’une lésion d’origine dégénérative pour le Dr I______ et en faveur d’une lésion d’origine traumatique pour le Dr F______. Le Dr I______ a ainsi estimé que le lien de causalité entre les troubles de la santé et l’accident était inférieur à 50%, alors que le Dr F______ a considéré que le lien de causalité était supérieur à 80%. Il appartient à l’intimée d’apporter la preuve au degré de la vraisemblance prépondérante qu’à partir d’une certaine date, les troubles de la santé perdurant après l’accident sont dus à une autre cause que l’accident, notamment d’éventuels troubles maladifs ou dégénératifs. Pour ce faire, l’assurance s’est principalement appuyée sur l’avis de son médecin-conseil, le Dr G______, dont on a vu supra qu’il avait constamment nié l’existence d’une lésion transfixiante du tendon du sus- épineux, questionnant encore ce point après que le Dr H______ ait visualisé ladite lésion lors de l’intervention chirurgicale. L’opinion du Dr G______ souffre ainsi de ne pas reposer sur des éléments de faits objectivement constatés et le bien-fondé de ladite opinion doit ainsi être mis en doute.</w:t>
      </w:r>
    </w:p>
    <w:p>
      <w:r>
        <w:t>A/515/2019 - 22/24 - Le second médecin-conseil de l’assurance, le Dr I______ a admis l’existence de la lésion transfixiante du tendon du sus-épineux et a infirmé l’opinion du Dr G______ sur le délai de retour au statu quo sine, l’estimant à 3 mois alors que son confrère l’avait fixé à 6 semaines. S’agissant de l’origine dégénérative des troubles de la santé, les Drs G______ et I______ les ont justifiées par l’existence de lésions géodiques comme étant d’origine dégénérative. Le Dr G______ s’est appuyé sur l’absence de mise en évidence d’un œdème intra osseux signalant habituellement une origine traumatique. Cet argument n’est toutefois pas déterminant car – comme le Dr G______ l’a lui-même relevé – l’arthro-IRM avait été pratiquée six mois après la chute et les signes d’œdème avaient donc pu disparaître dans l’intervalle. Le Dr I______ s’est distancé de son confrère, en admettant l’existence de la lésion transfixiante et en allongeant le délai pour atteindre le statu quo sine ante. On ne peut toutefois le suivre lorsqu’il considère que la chute n’était pas suffisamment violente pour causer un traumatisme alors que la vitesse de l’assurée au moment de la chute et la dureté de la neige sur laquelle elle était tombée ne sont pas établis avec certitude. Cet argument doit ainsi être écarté. L’argument selon lequel la profession de la recourante, qui entraîne une utilisation régulière voire une surutilisation des épaules, peut être un facteur d’usure et, partant, constituer une cause dégénérative, doit aussi être écarté dès lors qu’une telle surutilisation – pour autant qu’elle soit établie, ce qui n’est pas le cas – devrait entraîner une tendinopathie, plutôt qu’une lésion transfixiante du tendon sus-épineux. Le Dr F______ a ainsi fait valoir que l’origine dégénérative chez une personne de 49 ans ne pouvait pas avoir déclenché de telles douleurs, rappelant que ces dernières n’existaient pas avant l’accident et avaient disparu après l’intervention chirurgicale. La chambre de céans considère comme établi que l’assurée ne ressentait aucune douleur avant sa chute, qu’elle a ressenti de fortes douleurs après sa chute, et que celles-ci n’ont disparu qu’après l’intervention chirurgicale sur le tendon du sus- épineux. Partant, elle considère qu’il est démontré, au degré de la vraisemblance prépondérante, que les douleurs ont été causées par la chute et que lesdites douleurs ont été le symptôme d’une lésion du tendon sus-épineux qui est intervenue lors de l’accident. L’hypothèse qu’une telle douleur ait pu se développer suite à des troubles dégénératifs consécutifs à une surutilisation de l’épaule est peu crédible ; la concomitance entre l’événement accidentel, la violence relative de ce dernier, l’apparition des douleurs et la disparition de ces dernières après l’intervention chirurgicale sur le tendon du sus-épineux sont des éléments qui caractérisent l’origine traumatique de la lésion et des troubles de l’épaule gauche qui ont perduré jusqu’à l’opération chirurgicale. Toujours au degré de la vraisemblance prépondérante, la chambre de céans considère que les troubles de la santé dus à</w:t>
      </w:r>
    </w:p>
    <w:p>
      <w:r>
        <w:t>A/515/2019 - 23/24 - l’accident ont ainsi persisté après la date du statu quo sine fixée par l’assurance, en tous les cas jusqu’au moment de l’intervention chirurgicale.</w:t>
      </w:r>
    </w:p>
    <w:p>
      <w:r>
        <w:rPr>
          <w:b/>
        </w:rPr>
        <w:t>E. 12</w:t>
      </w:r>
    </w:p>
    <w:p>
      <w:r>
        <w:t>La chambre de céans constate que l’intimée a échoué à démontrer le caractère prédominant d’une origine maladive ou dégénérative pour expliquer les troubles de la santé ressentis par la recourante au-delà du délai de statu quo sine qu’elle avait fixé et doit donc prendre en charge les prestations en faveur de la recourante jusqu’à son rétablissement.</w:t>
      </w:r>
    </w:p>
    <w:p>
      <w:r>
        <w:rPr>
          <w:b/>
        </w:rPr>
        <w:t>E. 13</w:t>
      </w:r>
    </w:p>
    <w:p>
      <w:r>
        <w:t>Au vu de ce qui précède, le recours sera admis et la décision du 14 janvier 2019 sera annulée. La cause sera renvoyée à l’assurance pour nouvelle décision au sens des considérants.</w:t>
      </w:r>
    </w:p>
    <w:p>
      <w:r>
        <w:rPr>
          <w:b/>
        </w:rPr>
        <w:t>E. 14</w:t>
      </w:r>
    </w:p>
    <w:p>
      <w:r>
        <w:t>La recourante obtenant gain de cause et étant assistée d’un mandataire professionnel, une indemnité de CHF 2’000.- lui sera accordée à titre de participation à ses frais et dépens (art. 61 let. g LPGA; art. 6 du règlement sur les frais, émoluments et indemnités en matière administrative du 30 juillet 1986 [RFPA - E 5 10.03]).</w:t>
      </w:r>
    </w:p>
    <w:p>
      <w:r>
        <w:rPr>
          <w:b/>
        </w:rPr>
        <w:t>E. 15</w:t>
      </w:r>
    </w:p>
    <w:p>
      <w:r>
        <w:t>Pour le surplus, la procédure est gratuite (art. 61 let. a LPGA).</w:t>
      </w:r>
    </w:p>
    <w:p>
      <w:r>
        <w:t>***</w:t>
      </w:r>
    </w:p>
    <w:p>
      <w:r>
        <w:t>A/515/2019 - 24/24 -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