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ATAS/1237/2011 vom 12. Dezember 2011</w:t>
      </w:r>
    </w:p>
    <w:p>
      <w:r>
        <w:t>GE Cour de justice, 2011-12-12, FR</w:t>
      </w:r>
    </w:p>
    <w:p>
      <w:r>
        <w:rPr>
          <w:b/>
        </w:rPr>
        <w:t xml:space="preserve">Quelle: </w:t>
      </w:r>
      <w:r>
        <w:t>https://mcp.opencaselaw.ch/entscheid/ge_gerichte_ATAS_1237_2011</w:t>
      </w:r>
    </w:p>
    <w:p>
      <w:r>
        <w:t>FR: GE_GERICHTE ATAS/1237/2011 du 12 décembre 2011</w:t>
      </w:r>
    </w:p>
    <w:p>
      <w:r>
        <w:t>IT: GE_GERICHTE ATAS/1237/2011 del 12 dicembre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les formes et délai prévus par la loi, le présent recours est recevable (art. 56 à 61 LPGA et 38 al. 4 let. a LPGA p.a.).</w:t>
      </w:r>
    </w:p>
    <w:p>
      <w:r>
        <w:rPr>
          <w:b/>
        </w:rPr>
        <w:t>E. 4</w:t>
      </w:r>
    </w:p>
    <w:p>
      <w:r>
        <w:t>Le litige porte sur la question de savoir si c’est à juste titre que l’OAI a nié le droit de la recourante à une rente d’invalidité.</w:t>
      </w:r>
    </w:p>
    <w:p>
      <w:r>
        <w:rPr>
          <w:b/>
        </w:rPr>
        <w:t>E. 5</w:t>
      </w:r>
    </w:p>
    <w:p>
      <w:r>
        <w:t>En premier lieu, il convient d’examiner si l’OAI a enregistré de manière systématique les documents pouvant être déterminants.</w:t>
      </w:r>
    </w:p>
    <w:p>
      <w:r>
        <w:t>A/1501/2011 - 10/18 - En vertu de l’art. 46 LPGA, lors de chaque procédure relevant des assurances sociales, l’assureur enregistre de manière systématique tous les documents qui peuvent être déterminants. Il en découle que le dossier doit former un tout complet et cohérent au moment où la décision est rendue. Cette exigence est d'une part le corollaire obligé du droit de consulter le dossier (art 29 al. 2 Cst); elle sert d'autre part à garantir les prises de décisions conformes au droit (ATAF C-8355/2007 du 23 juin 2009 consid. 7.1.1 ; ATF 130 II 473 consid. 4.1; ATF 9C_231/2007 du 5 novembre 2007 consid. 3). La loi ne pose pas d’exigences concrètes quant à la manière dont les documents doivent être maniés, paginés, indexés, etc. L’obligation qui est faite à l’administration d’avoir la charge de la gestion du dossier est le pendant du droit de l’assuré d’avoir accès au dossier, conformément à l’art. 29 al. 2 Cst. (ATF 124 V 372 consid. 3b), en ce sens que le droit d’avoir accès au dossier de l’assuré est une condition du devoir de gestion du dossier de l’administration (ATF 130 II 473 consid. 4.2 et ATF 9C_231/2001 du 5 novembre 2007 consid. 3.2). Ce qui est déterminant est l’établissement d’un dossier de manière systématique. Cela suppose que le dossier soit classé d’après des critères généraux, de manière appropriée et conformément à l’objectif envisagé. La manière de classer les documents doit avoir lieu, de sorte que l’activité de l’administration puisse être retracée et être comprise. Les assurés doivent ainsi être en mesure de déterminer comment les faits ont été établis et la décision prise (KIESER Ueli, ATSG- Kommentar, 2ème édition, 2009, ad art. 46, no 13, p. 588 et ATF 8C_319/2010 du 15 décembre 2010 consid. 2.2.2).</w:t>
      </w:r>
    </w:p>
    <w:p>
      <w:r>
        <w:rPr>
          <w:b/>
        </w:rPr>
        <w:t>E. 6</w:t>
      </w:r>
    </w:p>
    <w:p>
      <w:r>
        <w:t>En l’espèce, la recourante invoque une violation de son droit d’être entendu, en ce sens que l’accès à son dossier lui était rendu difficile, car celui-ci ne comporte pas de liste ou de résumé de toutes les pièces qui y figurent. La Cour de céans constate que certes l’OAI n’a pas établi de liste ou de résumé des pièces du dossier de la recourante Toutefois, les documents sont tous classés de manière chronologique depuis la communication en vue d’une détection précoce en date du 10 février 2010 et sont tous numérotés. De plus, le classement des différents documents de manière chronologique permet à la recourante de comprendre aisément, d’une part, la manière de procéder de l’OAI, les raisons qui ont poussé celui-ci à ordonner différentes mesures d’instruction, soit par exemple le stage aux EPI ou l’examen rhumato-psychiatrique et, d’autre part, la motivation de la décision. Cette classification chronologique est ainsi appropriée. Par ailleurs, quand bien même le dossier de l’OAI comporte 82 documents - ce qui n’est pas excessif -, une lecture rapide du dossier permet de trouver facilement les documents médicaux ou économiques qui y figurent, de sorte qu’en l’espèce, l'absence de numérotation listage de la totalité des pièces ne prétérite pas la lecture du dossier ni, à fortiori,</w:t>
      </w:r>
    </w:p>
    <w:p>
      <w:r>
        <w:t>A/1501/2011 - 11/18 - l'accès à celui-ci. En outre, un bordereau de pièces ne permettrait pas, au vu du nombre de pièces non pertinentes pour l’issue du litige, un meilleur aperçu du dossier. Pour le surplus, il n’apparait pas que l’OAI n’ait pas géré le dossier de la recourante de manière transparente. Partant, le grief de la recourante doit dès lors être rejeté.</w:t>
      </w:r>
    </w:p>
    <w:p>
      <w:r>
        <w:rPr>
          <w:b/>
        </w:rPr>
        <w:t>E. 7</w:t>
      </w:r>
    </w:p>
    <w:p>
      <w:r>
        <w:t>En deuxième lieu, il sied de déterminer la capacité de travail de la recourante et son degré d’invalidité. 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A/1501/2011 - 12/18 -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w:t>
      </w:r>
    </w:p>
    <w:p>
      <w:r>
        <w:rPr>
          <w:b/>
        </w:rPr>
        <w:t>E. 8</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w:t>
      </w:r>
    </w:p>
    <w:p>
      <w:r>
        <w:t>A/1501/2011 - 13/18 -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9</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w:t>
      </w:r>
    </w:p>
    <w:p>
      <w:r>
        <w:t>A/1501/2011 - 14/18 -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w:t>
      </w:r>
    </w:p>
    <w:p>
      <w:r>
        <w:rPr>
          <w:b/>
        </w:rPr>
        <w:t>E. 13</w:t>
      </w:r>
    </w:p>
    <w:p>
      <w:r>
        <w:t>mars 2000, I 592/99). En particulier, dans un arrêt du 31 août 2007 (I 65/07), le Tribunal fédéral a considéré qu’un rapport SMR signé par le docteur I___________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du docteur I___________,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w:t>
      </w:r>
    </w:p>
    <w:p>
      <w:r>
        <w:t>A/1501/2011 - 15/18 - l’incapacité de travail par le médecin de famille (ATF 125 V 351 consid. 3b/cc et les références ; RJJ 1995, p. 44 ; RCC 1988 p. 504 consid. 2). 10. a) En l’espèce, la décision litigieuse est fondée sur l’examen rhumato-psychiatrique effectué en date du 3 novembre 2010 par les Drs E___________ et F___________, médecins auprès du SMR. Ils ont posé les diagnostics suivants, indiquant qu’ils n’avaient pas d’influence sur la capacité de travail : une fibromyalgie, des troubles dégénératifs modérés du rachis lombaire (discopathie L5-S1), des antécédents de tendinite de De Quervain à gauche et un épisode dépressif moyen sans syndrome somatique. La capacité de travail de la recourante était entière dans l’activité habituelle, dans une activité se situant dans son domaine de compétence (onglerie et pédicure) ou dans une activité adaptée. La Cour de céans constate que ce rapport a été établi à la suite d'un examen rhumatologique et psychiatrique de la recourante, en tenant compte de ses plaintes, de son dossier médical et qu’il est fondé sur une anamnèse familiale, professionnelle, médicale, psychosociale et psychiatrique. Il n’est toutefois que peu motivé. En effet, d’une part, le rhumatologue expose ses constatations sans les discuter, retenant une fibromyalgie, en expliquant en substance qu’aucune atteinte significative n’a été mise en exergue. D’autre part, le psychiatre confirme le diagnostic d’épisode dépressif moyen et exclut celui de dépression sévère, évoquant l’absence d’idées suicidaires. Toutefois, il ne mentionne pas les symptômes qui lui permettent d’arriver à la conclusion que l’épisode dépressif est de degré moyen. En outre, en ce qui concerne les limitations fonctionnelles, les médecins s’expriment en termes généraux, déclarant qu’il convient de suivre les conseils d’usage habituels s’agissant de l’épargne du rachis et la recommandation par rapport au port de poids établi par la SUVA en relation avec l’âge et le sexe de l’assurée, sans déterminer, dans le cas de la recourante, quelles sont précisément ses limitations fonctionnelles dans l’exercice d’une activité lucrative. De plus, on ne sait pas, à la lecture de ce rapport d’examen, si son atteinte à la santé psychique pourrait limiter la recourante dans une telle activité. Par ailleurs, les examinateurs relèvent que celle-ci se plaint notamment d’une anxiété généralisée en relation avec son état de santé somatique, mais retiennent que l’examen n’a pas permis d’objectiver d’anxiété généralisée, sans autre explication, ce qui parait contradictoire. Au vu de ces éléments, le rapport des Drs E___________ et F___________ ne saurait se voir reconnaitre valeur probante au sens de la jurisprudence. Pour le surplus, la recourante fait valoir notamment que le Dr F___________ s’est prévalu du titre de psychiatre « FMH », alors même qu’il n’était pas inscrit au registre FMH, ce que l’intimé a implicitement admis dans son écriture du 21 juillet 2011. La Cour de céans estime toutefois qu’il n’est pas nécessaire de requérir, en l’occurrence, des informations complémentaires auprès de la Fédération des médecins suisses ou de se déterminer plus précisément sur cette question, dans la</w:t>
      </w:r>
    </w:p>
    <w:p>
      <w:r>
        <w:t>A/1501/2011 - 16/18 - mesure où cet élément ne vient que s’ajouter au fait que le rapport des médecins du SMR ne présente pas, en tout état de cause, de valeur probante. Il sera toutefois souligné que quand bien même un médecin remplit les conditions pour solliciter son inscription auprès de la FMH, mais ne le fait pas, il ne saurait signer en qualité de psychiatre « FMH », attendu qu’il n’est effectivement pas membre de la Fédération des médecins suisses. En procédant de la sorte, il se prévaut d’un titre auquel il ne peut prétendre, ce qui permet de douter de la valeur probante d’un tel rapport médical, même si le médecin est habilité à exercer à titre de médecin dépendant ou indépendant en Suisse (ATF I 65/07 du 31 août 2007 consid. 3). b) Quant aux divers rapports des médecins ayant suivi ou examiné la recourante, soit les Drs A___________, B___________, C___________, D___________ ou G___________, ils ne sont pas susceptibles d’apporter une réponse définitive sur l’état de santé somatique et psychique de la recourante ainsi que sur sa capacité de travail, dans la mesure où ils ne sont pas suffisamment motivés pour qu’on puisse uniquement se fonder sur leurs rapports. c) Eu égard aux doutes qui subsistent quant à la sévérité du trouble dépressif dont souffre la recourante et aux conséquences des troubles somatiques et psychiatriques sur sa capacité de travail et ses limitations fonctionnelles, la Cour de céans n’est pas en mesure de statuer sur sa capacité de travail et partant, sur son degré d’invalidité. 11. 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 b) En l’occurrence, la décision litigieuse se base sur un seul rapport, soit sur un rapport d’examen du SMR qui n’a pas valeur probante au sens de la jurisprudence, car il présente une motivation déficiente, les points essentiels ne pouvant pas être établis, et il semblerait également que l’un des examinateurs s’est prévalu d’un titre auquel il ne pouvait pas prétendre. Ces éléments justifient de renvoyer la cause à</w:t>
      </w:r>
    </w:p>
    <w:p>
      <w:r>
        <w:t>A/1501/2011 - 17/18 - l’OAI pour mise en œuvre d’une expertise rhumato-psychiatrique, ce d’autant plus qu’aucune expertise n’a été réalisée par l’OAI, mais uniquement un examen SMR. 12. a) Au vu de ce qui précède, le recours est partiellement admis et la cause renvoyée à l’OAI, à charge pour lui de mettre en œuvre une expertise rhumato-psychiatrique, confiée à des experts indépendants, afin de déterminer précisément les atteintes de la recourante, leurs répercussions sur sa capacité de travail et les limitations fonctionnelles. b) La recourante, représentée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l’OAI.</w:t>
      </w:r>
    </w:p>
    <w:p>
      <w:r>
        <w:t>A/1501/2011 - 18/18 -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