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ATAS/1237/2010 vom 1. Februar 2008</w:t>
      </w:r>
    </w:p>
    <w:p>
      <w:r>
        <w:t>GE Cour de justice, 2008-02-01, FR</w:t>
      </w:r>
    </w:p>
    <w:p>
      <w:r>
        <w:rPr>
          <w:b/>
        </w:rPr>
        <w:t xml:space="preserve">Quelle: </w:t>
      </w:r>
      <w:r>
        <w:t>https://mcp.opencaselaw.ch/entscheid/ge_gerichte_ATAS_1237_2010</w:t>
      </w:r>
    </w:p>
    <w:p>
      <w:r>
        <w:t>FR: GE_GERICHTE ATAS/1237/2010 du 1 février 2008</w:t>
      </w:r>
    </w:p>
    <w:p>
      <w:r>
        <w:t>IT: GE_GERICHTE ATAS/1237/2010 del 1 febbraio 2008</w:t>
      </w:r>
    </w:p>
    <w:p>
      <w:pPr>
        <w:pStyle w:val="Heading2"/>
      </w:pPr>
      <w:r>
        <w:t>Erwägungen</w:t>
      </w:r>
    </w:p>
    <w:p>
      <w:r>
        <w:rPr>
          <w:b/>
        </w:rPr>
        <w:t>E. 1</w:t>
      </w:r>
    </w:p>
    <w:p>
      <w:r>
        <w:t>Conformément à l'art. 56V al. 1er let. a ch. 5 de la loi genevoise du 22 novembre 1941 sur l'organisation judiciaire (LOJ), le Tribunal cantonal des assurances sociales connaît en instance unique des contestations prévues à l'art. 56 de la loi fédérale du 6 octobre 2000 sur la partie générale du droit des assurances sociales (LPGA) qui sont relatives à la loi fédérale du 20 mars 1981 sur l'assurance-accident (LAA). Sa compétence pour juger du cas d'espèce est ainsi établie.</w:t>
      </w:r>
    </w:p>
    <w:p>
      <w:r>
        <w:rPr>
          <w:b/>
        </w:rPr>
        <w:t>E. 2</w:t>
      </w:r>
    </w:p>
    <w:p>
      <w:r>
        <w:t>a) Pour être considéré comme recevable selon l'art. 61 let. b LPGA, l'acte de</w:t>
      </w:r>
    </w:p>
    <w:p>
      <w:r>
        <w:t>recours doit contenir un exposé succinct des faits et des motifs invoqués, ainsi</w:t>
      </w:r>
    </w:p>
    <w:p>
      <w:r>
        <w:t>que des conclusions; si l'acte n'est pas conforme à ces règles, le tribunal impartit</w:t>
      </w:r>
    </w:p>
    <w:p>
      <w:r>
        <w:t>un délai convenable au recourant pour combler les lacunes, en l'avertissant qu'en</w:t>
      </w:r>
    </w:p>
    <w:p>
      <w:r>
        <w:t>cas d'inobservation le recours sera écarté. Des règles similaires sont posées par le droit de procédure cantonal applicable (cf. art. 65 al. 1 et 2 de la loi cantonale du 12 septembre 1985 sur la procédure administrative).</w:t>
      </w:r>
    </w:p>
    <w:p>
      <w:r>
        <w:t>A/998/2009 - 10/12 -</w:t>
      </w:r>
    </w:p>
    <w:p>
      <w:r>
        <w:t>b) En l'espèce, bien qu'adressée dans le délai de 30 jours à compter de la</w:t>
      </w:r>
    </w:p>
    <w:p>
      <w:r>
        <w:t>notification de la décision litigieuse, la lettre du recourant du 20 mars 2009 ne</w:t>
      </w:r>
    </w:p>
    <w:p>
      <w:r>
        <w:t>remplit pas les exigences de formes légales. Toutefois, en autorisant le recourant</w:t>
      </w:r>
    </w:p>
    <w:p>
      <w:r>
        <w:t>à répliquer, il faut admettre que le Tribunal de céans permis au recourant de</w:t>
      </w:r>
    </w:p>
    <w:p>
      <w:r>
        <w:t>régulariser une informalité réparable, ce qu'il a fait par son mémoire du 29 mai</w:t>
      </w:r>
    </w:p>
    <w:p>
      <w:r>
        <w:t>2009. Son recours est dès lors recevable.</w:t>
      </w:r>
    </w:p>
    <w:p>
      <w:r>
        <w:rPr>
          <w:b/>
        </w:rPr>
        <w:t>E. 3</w:t>
      </w:r>
    </w:p>
    <w:p>
      <w:r>
        <w:t>Le litige porte sur la question de la détermination du gain assuré à prendre en considération dans la fixation de l'indemnité journalière de l'assurance-accidents due au recourant.</w:t>
      </w:r>
    </w:p>
    <w:p>
      <w:r>
        <w:rPr>
          <w:b/>
        </w:rPr>
        <w:t>E. 4</w:t>
      </w:r>
    </w:p>
    <w:p>
      <w:r>
        <w:t>a) En vertu de l'art. 17 al. 1 LAA, l'indemnité journalière correspond, en cas</w:t>
      </w:r>
    </w:p>
    <w:p>
      <w:r>
        <w:t>d'incapacité de travail (art. 6 LPGA), à 80 % du gain assuré. Selon l'art. 15 al. 2</w:t>
      </w:r>
    </w:p>
    <w:p>
      <w:r>
        <w:t>LAA, est réputé gain assuré pour le calcul des indemnités journalières le dernier</w:t>
      </w:r>
    </w:p>
    <w:p>
      <w:r>
        <w:t>salaire que l'assuré a reçu avant l'accident. L'indemnité journalière est calculée</w:t>
      </w:r>
    </w:p>
    <w:p>
      <w:r>
        <w:t>conformément à l'annexe 2 et versée pour tous les jours, y compris les</w:t>
      </w:r>
    </w:p>
    <w:p>
      <w:r>
        <w:t>dimanches et jours fériés (art. 25 al. 1 OLAA).</w:t>
      </w:r>
    </w:p>
    <w:p>
      <w:r>
        <w:t>b) Selon l'art. 1 de l'Ordonnance du 24 janvier 1996 sur l'assurance-accidents des</w:t>
      </w:r>
    </w:p>
    <w:p>
      <w:r>
        <w:t>personnes au chômage (OAAC; RS 837.171), l'assurance-accidents des</w:t>
      </w:r>
    </w:p>
    <w:p>
      <w:r>
        <w:t>personnes au chômage se fonde sur les prescriptions de la LPGA, de la LAA et</w:t>
      </w:r>
    </w:p>
    <w:p>
      <w:r>
        <w:t>de l'OLAA, sauf disposition particulière contenue dans ladite ordonnance. Aux termes de l'art. 5 al. 1 OAAC, l'indemnité journalière de l'assurance-accidents correspond à l'indemnité nette de l'assurance-chômage, visée aux articles 22 et 22a LACI, calculée par jour civil. Il ressort de l'art. 22 LACI que l'indemnité journalière de l'assurance-chômage se calcule sur la base du gain assuré, lequel correspond au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(art. 23 al. 1 LCAI). Les prestations d'assurance en cas d'accident, de maladie ou d'invalidité, à l'exception des indemnités journalières selon les art. 25 LAI et 29 LAM, ne sont pas comprises dans le revenu de l'activité lucrative (art. 6 al. 2 let. b RAVS).</w:t>
      </w:r>
    </w:p>
    <w:p>
      <w:r>
        <w:t>En vertu de l'article 39 OACI, pour les périodes durant lesquelles l'assuré est partie à un rapport de travail, mais ne touche pas de salaire notamment parce qu’il est malade (art. 13 al. 2 let. c LACI), est déterminant le salaire que l’assuré aurait normalement obtenu, même si l'assuré a touché des prestations de remplacement d'un montant inférieur (ATF non publié du 7 novembre 2006 dans la cause C 336/05, consid. 4.1; B. RUBIN, Assurance-chômage, droit fédéral, survol des mesures cantonales, procédure, 2ème éd., Zurich Bâle Genève 2006, n. 4.6.11, p. 316).</w:t>
      </w:r>
    </w:p>
    <w:p>
      <w:r>
        <w:t>A/998/2009 - 11/12 -</w:t>
      </w:r>
    </w:p>
    <w:p>
      <w:r>
        <w:t>L'art. 40b OACI précise, quant à lui, qu'est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Cette disposition n'est toutefois pas applicable aux personnes déjà atteintes dans leur capacité de gain bien avant leur inscription au chômage; dans ce cas, le gain assuré se fonde sur leur dernier salaire, selon les règles ordinaires régissant la perte de travail à prendre en considération et la fixation du gain assuré (ATF non publié du 4 mars 2005 dans la cause C 314/02, consid. 2.2.2; B. RUBIN, op., cit., n. 4.6.12, p. 317).</w:t>
      </w:r>
    </w:p>
    <w:p>
      <w:r>
        <w:t>b) En l'espèce, dans la mesure où, pour les personnes au chômage victime d'un</w:t>
      </w:r>
    </w:p>
    <w:p>
      <w:r>
        <w:t>accident, à l'instar du recourant, l'indemnité journalière de l'assurance-accidents</w:t>
      </w:r>
    </w:p>
    <w:p>
      <w:r>
        <w:t>correspond à l'indemnité nette de l'assurance-chômage (art. 5 al. 1 OAAC), il y a</w:t>
      </w:r>
    </w:p>
    <w:p>
      <w:r>
        <w:t>lieu de déterminer préalablement le montant de l'indemnité nette de l'assurance-</w:t>
      </w:r>
    </w:p>
    <w:p>
      <w:r>
        <w:t>chômage que le recourant aurait dû percevoir en mars 2008. Contrairement à ce qu'a retenu l'intimée dans sa décision litigieuse, l'art. 40b OACI ne s'applique pas au cas d'espèce, dans la mesure où le recourant n'a pas subi une atteinte dans sa capacité de travail immédiatement avant le chômage, mais, au contraire, était déjà atteint dans sa capacité de gain bien avant son inscription au chômage. En effet, pendant plus de deux ans avant son inscription, le recourant, partie à un rapport de travail, était incapable de travailler et avait bénéficié d'indemnités journalières de HELSANA ASSURANCES, correspondant aux 80% d'un salaire mensuel de 5'315 fr. En application de l'art. 39 OACI, le gain assuré du recourant aurait dû être établi d'après le salaire qu'il aurait normalement obtenu s'il n'avait pas été en incapacité de travail, soit en l'occurrence de 5'315 fr. A partir de ce montant, l'indemnité journalière nette de l'assurance-chômage aurait dû s'élever à 179 fr. 90. Conformément à l'art. art. 5 al. 1 OAAC, c'est sur ce dernier montant que l'indemnité journalière due par la SUVA aurait dû être calculée et, donc, fixée à 128 fr. 50 [(179 fr. 90 x 5 x 5.14) : 365]. Il s'ensuit que les décisions de la SUVA fixant l'indemnité journalière de l'assurance-accidents due au recourant à 90 fr. 05 en lieu et place de 128 fr. 50 sont contraires au droit et doivent donc être annulées.</w:t>
      </w:r>
    </w:p>
    <w:p>
      <w:r>
        <w:t>A/998/2009 - 12/12 -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