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ATAS/1237/2008 vom 5. November 2008</w:t>
      </w:r>
    </w:p>
    <w:p>
      <w:r>
        <w:t>GE Cour de justice, 2008-11-05, FR</w:t>
      </w:r>
    </w:p>
    <w:p>
      <w:r>
        <w:rPr>
          <w:b/>
        </w:rPr>
        <w:t xml:space="preserve">Quelle: </w:t>
      </w:r>
      <w:r>
        <w:t>https://mcp.opencaselaw.ch/entscheid/ge_gerichte_ATAS_1237_2008</w:t>
      </w:r>
    </w:p>
    <w:p>
      <w:r>
        <w:t>FR: GE_GERICHTE ATAS/1237/2008 du 5 novembre 2008</w:t>
      </w:r>
    </w:p>
    <w:p>
      <w:r>
        <w:t>IT: GE_GERICHTE ATAS/1237/2008 del 5 novembre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remplacée par celle du 6 octobre 2006, entrée en vigueur le 1er janvier 2008. Il connaît également des contestations prévues à l'art. 43 de la loi cantonale sur les prestations cantonales complémentaires à l'assurance-vieillesse et survivants et à l'assurance-invalidité, du 25 octobre 1968 (LPCC).</w:t>
      </w:r>
    </w:p>
    <w:p>
      <w:r>
        <w:t>A/1537/2008 - 5/8 -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Etant donné que les faits déterminants se sont réalisés avant l’entrée en vigueur de ces modifications, l’ancien droit reste applicable dans sa teneur au 31 décembre 2007.</w:t>
      </w:r>
    </w:p>
    <w:p>
      <w:r>
        <w:rPr>
          <w:b/>
        </w:rPr>
        <w:t>E. 3</w:t>
      </w:r>
    </w:p>
    <w:p>
      <w:r>
        <w:t>Le recours a été formé en temps utile, le 2 mai 2008, dans le délai de trente jours (art. 60 al. 1 LPGA, art. 9 LPC et art. 43 LPCC) courant à partir du lendemain de la réception de la décision sur opposition du 1er avril 2008 (cf. art. 38 al. 1 et 39 al. 2 LPGA). Interjeté dans les forme et délai prévus par la loi, le recours est recevable (art. 56 ss LPGA).</w:t>
      </w:r>
    </w:p>
    <w:p>
      <w:r>
        <w:rPr>
          <w:b/>
        </w:rPr>
        <w:t>E. 4</w:t>
      </w:r>
    </w:p>
    <w:p>
      <w:r>
        <w:t>L'objet du litige porte sur le montant du remboursement des frais d'un traitement dentaire.</w:t>
      </w:r>
    </w:p>
    <w:p>
      <w:r>
        <w:rPr>
          <w:b/>
        </w:rPr>
        <w:t>E. 5</w:t>
      </w:r>
    </w:p>
    <w:p>
      <w:r>
        <w:t>Les bénéficiaires d'une prestation complémentaire annuelle ont droit au remboursement des frais de dentiste de l'année civile en cours, s'ils sont dûment établis (art. 3d al. 1 let. a LPC). Le Conseil fédéral précise quels frais peuvent être remboursés (art. 3d al. 4 LPC). Le Conseil fédéral a délégué cette compétence au Département de l'intérieur (art. 19 al. 1 OPC-AVS/AI), qui a édicté l'Ordonnance relative au remboursement des frais de maladie et des frais résultant de l'invalidité en matière de prestations complémentaires, du 29 décembre 1997 (OMPC; RS 831.301.1, abrogée dès le 1er janvier 2008 par l'Ordonnance sur les adaptations des ordonnances touchées par la réforme de la péréquation financière et de la répartition des tâches entre la Confédération et les cantons, du 7 novembre 2007 - RO 2007 p. 5869).</w:t>
      </w:r>
    </w:p>
    <w:p>
      <w:r>
        <w:t>A/1537/2008 - 6/8 - Aux termes de l'art. 8 OMPC, les frais de traitement dentaire sont remboursés dans la mesure où il s'agit d'un traitement simple, économique et adéquat (al. 1). Si le coût d'un traitement dentaire (frais de laboratoire inclus) risque, selon toute vraisemblance, de dépasser 3'000 francs, un devis doit être adressé à l'organe d'exécution en matière de prestation complémentaire avant le début du traitement. 3'000 francs au plus seront remboursés si un traitement d'un coût supérieur à ce montant a été effectué sans approbation préalable du devis (al. 3). Cette disposition de l'ordonnance doit être interprétée en ce sens qu'elle fonde une présomption que le traitement d'un coût supérieur à 3'000 francs pour lequel aucun devis n'a été adressé à l'organe d'exécution ne constitue pas un traitement simple, économique et adéquat. L'assuré peut toutefois renverser cette présomption en apportant la preuve du contraire (ATF 131 V 263 consid. 5 p. 266 ss).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(cf. ATF 124 V 200 consid. 3 et les références). En règle générale, il a lieu de prévoir des prothèses partielles en métal (cf. Annexe IV des Directives sur le remboursement des frais de traitement dentaire en matière de PC). Les bridges céramo-métalliques ne sont pris en charge que s'il n'existe aucune thérapie possible. Il y a alors lieu d'en justifier la nécessité en produisant une documentation adéquate. Il en va de même pour les implants.</w:t>
      </w:r>
    </w:p>
    <w:p>
      <w:r>
        <w:rPr>
          <w:b/>
        </w:rPr>
        <w:t>E. 6</w:t>
      </w:r>
    </w:p>
    <w:p>
      <w:r>
        <w:t>En l'espèce, le recourant a produit trois plans de traitement. Le premier, établi par X__________ SA, propose la mise en place de deux implants sur les dents manquantes 46 et 47, avec mise en place de deux couronnes céramo-métalliques pour un montant devisé à 9'253 fr. Le deuxième plan de traitement proposé par RIVE CENTRE DENTAIRE comporte l'extraction de la dent 44 et la mise en place de trois implants qui permettront la réalisation d'un pont de quatre éléments pour remplacer les dents 44 à 47, pour un coût estimé à 12'000 fr. Enfin, la Dresse M_________ a établi un devis de 11'967 fr. 10 pour un traitement comportant la pose de trois implants et de trois couronnes céramo-métalliques. Or, selon le médecin-conseil de l'intimé auquel le dossier et les radiographies ont été soumis, ces plans de traitement ne correspondent absolument pas à un traitement simple, économique et adéquat. Il a expliqué que le recours à une prothèse adjointe constitue le traitement simple de remplacement des dents manquantes dans le cas du recourant, soit un montant compris entre 2'300 fr. et 2'500 fr. maximum.</w:t>
      </w:r>
    </w:p>
    <w:p>
      <w:r>
        <w:t>A/1537/2008 - 7/8 - Interpellée par le Tribunal de céans, la Dresse M_________ a reconnu qu'une prothèse adjointe constitue un traitement simple et économique pour le remplacement des dents manquantes. Elle a toutefois indiqué que dans le cas du recourant, le critère de l'adéquation pourrait être controversé, si l'on tient compte de son dossier médical. Elle a précisé à cet égard que le recourant présente un édentement partiel et unilatéral, que la pose d'un appareil amovible représente un déséquilibre flagrant pour l'ensemble maxillaire et dentaire et, qu'outre les problèmes digestifs, l'état psychologique pourrait peut-être empirer. Il n'est pas établi en l'occurrence que la pose d'implants soit la seule solution thérapeutique adéquate dans le cas du recourant. On ne voit pas en effet en quoi une prothèse partielle aurait une influence négative sur la digestion. Quant à l'aspect psychologique, si l'on peut certes comprendre le souci de confort et d'esthétique du recourant, l'on ne peut conclure qu'une prothèse adjointe entraînerait une aggravation de son état de santé psychique. Au vu de ce qui précède, il convient d'admettre que la prothèse adjointe préconisée par le médecin-conseil constitue le traitement simple, économique et adéquat permettant de restaurer la fonction masticatoire.</w:t>
      </w:r>
    </w:p>
    <w:p>
      <w:r>
        <w:rPr>
          <w:b/>
        </w:rPr>
        <w:t>E. 7</w:t>
      </w:r>
    </w:p>
    <w:p>
      <w:r>
        <w:t>Mal fondé, le recours doit être rejeté.</w:t>
      </w:r>
    </w:p>
    <w:p>
      <w:r>
        <w:t>A/1537/2008 - 8/8 -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