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ATAS/1235/2020 vom 14. Dezember 2020</w:t>
      </w:r>
    </w:p>
    <w:p>
      <w:r>
        <w:t>GE Cour de justice, 2020-12-14, FR</w:t>
      </w:r>
    </w:p>
    <w:p>
      <w:r>
        <w:rPr>
          <w:b/>
        </w:rPr>
        <w:t xml:space="preserve">Quelle: </w:t>
      </w:r>
      <w:r>
        <w:t>https://mcp.opencaselaw.ch/entscheid/ge_gerichte_ATAS_1235_2020</w:t>
      </w:r>
    </w:p>
    <w:p>
      <w:r>
        <w:t>FR: GE_GERICHTE ATAS/1235/2020 du 14 décembre 2020</w:t>
      </w:r>
    </w:p>
    <w:p>
      <w:r>
        <w:t>IT: GE_GERICHTE ATAS/1235/2020 del 14 dicembre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t>A/1561/2020 - 16/24 -</w:t>
      </w:r>
    </w:p>
    <w:p>
      <w:r>
        <w:rPr>
          <w:b/>
        </w:rPr>
        <w:t>E. 3</w:t>
      </w:r>
    </w:p>
    <w:p>
      <w:r>
        <w:t>Le délai de recours est de trente jours (art. 60 LPGA; art. 62 al. 1 let. a de la loi sur la procédure administrative du 12 septembre 1985 [LPA – E 5 10]). Lorsque le délai échoit un samedi, un dimanche ou un jour férié selon le droit fédéral ou cantonal, son terme est reporté au premier jour ouvrable qui suit (art. 38 al. 3 LPGA ; art. 17 al. 3 LPA). En l’espèce, la décision sur opposition a été notifiée le 1er mai 2017, de sorte que le délai de recours échoyait en principe le 31 mai 2020. Toutefois, comme le 31 mai 2020 était un dimanche et le 1er juin 2020 (lundi de Pentecôte) était légalement férié (art. 1 al. 1 let. e de la loi sur les jours fériés du 3 novembre 1951 [LJF – J 1 45]), le terme du délai de recours a été reporté au 2 juin 2020. Déposé à cette date, le recours a été interjeté en temps utile. Satisfaisant par ailleurs aux exigences formelles prescrites par la loi, il est recevable (art. 89B LPA).</w:t>
      </w:r>
    </w:p>
    <w:p>
      <w:r>
        <w:rPr>
          <w:b/>
        </w:rPr>
        <w:t>E. 4</w:t>
      </w:r>
    </w:p>
    <w:p>
      <w:r>
        <w:t>Le litige porte sur le bien-fondé de la suppression, par voie de révision, de la demi- rente d'invalidité - accordée au recourant depuis le 1er avril 2008 -, respectivement sur son droit éventuel à une rente entière d'invalidité.</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 ci n'est pas objectivement surmontable (al. 2 en vigueur dès le 1er janvier 2008).</w:t>
      </w:r>
    </w:p>
    <w:p>
      <w:r>
        <w:rPr>
          <w:b/>
        </w:rPr>
        <w:t>E. 6</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t>A/1561/2020 - 17/24 -</w:t>
      </w:r>
    </w:p>
    <w:p>
      <w:r>
        <w:rPr>
          <w:b/>
        </w:rPr>
        <w:t>E. 7</w:t>
      </w:r>
    </w:p>
    <w:p>
      <w:r>
        <w:t>a.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b.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Dans le domaine de l'assurance-invalidité, le point de départ d'une modification du droit aux prestations est fixé avec précision. En cas de modification de la capacité de gain, la rente doit être supprimée ou réduite avec effet immédiat si la modification paraît durable et par conséquent stable (première phrase de l'art. 88a</w:t>
      </w:r>
    </w:p>
    <w:p>
      <w:r>
        <w:t>A/1561/2020 - 18/24 - al. 1 RAI); on attendra en revanche trois mois au cas où le caractère évolutif de l'atteinte à la santé, notamment la possibilité d'une aggravation, ne permettrait pas un jugement immédiat (deuxième phrase de la disposition; arrêt du Tribunal fédéral des assurances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 En vertu de l'art. 88bis al. 1 RAI, l'augmentation de la rente prend effet, si la révision est demandée par l'assuré, au plus tôt dès le mois où cette demande est présentée (let. a), si la révision a lieu d'office, dès le mois pour lequel celle-ci avait été prévue (let. b). En vertu de l'art. 88bis al. 2 RAI, la diminution ou la suppression de la rente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t>A/1561/2020 - 19/24 - b.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Dans ce contexte, il y a lieu de relever que selon une jurisprudence constante, la qualification du médecin joue un rôle déterminant dans l'appréciation de documents médicaux. L'administration et le juge appelés à se déterminer en matière d'assurances sociales doivent pouvoir se fonder sur les connaissances spéciales de l'auteur d'un certificat médical servant de base à leurs réflexions. Il s'ensuit que le médecin rapporteur ou pour le moins le médecin signant le rapport médical doit en principe disposer d'une spécialisation dans la discipline médicale concernée ; à défaut, la valeur probante d'un tel document est moindre (cf. arrêt du Tribunal fédéral 9C_826/2009 du 20 juillet 2010 consid. 4.2 portant sur les rapports des services médicaux régionaux au sens de l'art. 49 al. 2 RAI). c.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w:t>
      </w:r>
    </w:p>
    <w:p>
      <w:r>
        <w:t>A/1561/2020 - 20/24 - doute sur la valeur probante du rapport du médecin concerné et, par conséquent, la violation du principe mentionné (arrêt du Tribunal fédéral 9C_973/2011 du 4 mai 2012 consid. 3.2.1). e.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f.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y compris d'ordre médical qui peuvent être faites à l'occasion d'un stage d'observation professionnelle, qui sont susceptibles d'être influencées par des éléments subjectifs liés au comportement de l'assuré pendant le stage (arrêts du Tribunal fédéral 9C_65/2019 du 26 juillet 2019 consid. 5 et 9C_329/2015 du 20 novembre 2015 consid. 7.3).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w:t>
      </w:r>
    </w:p>
    <w:p>
      <w:r>
        <w:t>A/1561/2020 - 21/24 - octobre 2003 consid. 4.3 et les références, in Plädoyer 2004/3 p. 64; arrêt du Tribunal fédéral 9C_512/2013 du 16 janvier 2014 consid. 5.2.1).</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11</w:t>
      </w:r>
    </w:p>
    <w:p>
      <w:r>
        <w:t>En l’espèce, l’intimé retient une amélioration de l'état de santé du recourant dès 2016, justifiant la suppression de sa demi-rente, en se fondant sur l'expertise du CEMed du 17 octobre 2019 réalisée par les Drs V______ et W______. Le recourant, quant à lui, conteste la valeur probante de cette expertise et considère qu'il doit être mis au bénéfice d'une rente entière d’invalidité. La chambre de céans constate d'emblée que l'expertise précitée a été établie par un psychiatre-psychothérapeute et par un médecin praticien et qu’elle ne comprend pas de volet néphrologique, alors que le recourant souffre principalement de troubles néphrologiques chroniques. Or, comme indiqué précédemment, la valeur probante d'une expertise dans une discipline médicale particulière dépend du point de savoir</w:t>
      </w:r>
    </w:p>
    <w:p>
      <w:r>
        <w:t>A/1561/2020 - 22/24 - si l'expert dispose d'une formation spécialisée dans le domaine concerné (arrêt du Tribunal fédéral 9C_270/2007 du 12 août 2008 consid. 3.3). A cet égard, le Dr W______ n'a pas de compétences en néphrologie, de sorte que son évaluation est insuffisante pour permettre de déterminer si l'état de santé du recourant du point de vue néphrologique a été modifié de manière à influencer sa capacité de travail. Pour cette raison déjà, le recours devra être admis et la cause renvoyée à l'intimé pour instruction complémentaire, en particulier afin qu'il mette en œuvre une expertise néphrologique, cet aspect n’ayant pas été instruit par l’intimé. Par ailleurs, la cour de céans constate que les experts ne se sont pas fondés, pour apprécier la capacité de travail du recourant, sur sa réelle activité habituelle, sans invalidité. En effet, à plusieurs reprises ils se réfèrent à l'activité exercée en dernier lieu comme activité habituelle. Or, force est de constater que l'activité exercée en dernier lieu par le recourant, soit le poste d'employé de production au sein de la Fondation PRO, est d'ores et déjà une activité adaptée, de surcroît, effectuée en atelier protégé, soit dans le marché secondaire du travail. Il ressort plutôt du dossier que l'activité habituelle du recourant, sans invalidité, est celle d’aide de cuisine. Le SMR a d'ailleurs, à juste titre, modifié son appréciation – s'éloignant ainsi du rapport d'expertise – en reconnaissant finalement que l'activité habituelle était celle d’aide de cuisine et que la capacité de travail dans cette activité était nulle (avis du 23 mars 2020). Néanmoins, l'erreur des premiers experts sur ce point jette un doute sur leur appréciation de la capacité de travail du recourant. Enfin, la nouvelle expertise devra déterminer si le recourant est apte à intégrer une activité dans le cadre du marché du travail primaire ou si seul un poste dans le marché secondaire, comme l'activité exercée en dernier lieu, est possible. Cette question n'a pas été clairement tranchée, alors même que, depuis 2009, le recourant a travaillé exclusivement en atelier protégé et que la Fondation PRO a indiqué qu'il ne pouvait pas travailler dans l'économie normale. Or dans l'hypothèse où le recourant n'est pas apte à retourner travailler dans le marché primaire du travail, l'utilisation des ESS pour calculer le revenu d'invalide n'est pas envisageable. Il conviendra dès lors d'éclaircir ce point dans le cadre de l'instruction complémentaire.</w:t>
      </w:r>
    </w:p>
    <w:p>
      <w:r>
        <w:rPr>
          <w:b/>
        </w:rPr>
        <w:t>E. 12</w:t>
      </w:r>
    </w:p>
    <w:p>
      <w:r>
        <w:t>Au vu de ce qui précède, le recours est partiellement admis, la décision du 27 avril 2020 annulée et la cause renvoyée à l'intimé pour instruction complémentaire dans le sens des considérants, en particulier la mise en œuvre d'une expertise néphrologique confiée à des experts indépendants, selon la procédure prévue à l'art. 44 LPGA.</w:t>
      </w:r>
    </w:p>
    <w:p>
      <w:r>
        <w:rPr>
          <w:b/>
        </w:rPr>
        <w:t>E. 13</w:t>
      </w:r>
    </w:p>
    <w:p>
      <w:r>
        <w:t>Vu l'issue du litige, une indemnité de CHF 2'500.- sera accordée au recourant à titre de participation à ses frais et dépens (art. 61 let. g LPGA ; art. 6 du règlement sur</w:t>
      </w:r>
    </w:p>
    <w:p>
      <w:r>
        <w:t>A/1561/2020 - 23/24 - les frais, émoluments et indemnités en procédure administrative du 30 juillet 1986 [RFPA - E 5 10.03]), à la charge de l'intimé. Etant donné que depuis le 1er juillet 2006 la procédure n'est plus gratuite (art. 69 al. 1bis LAI), au vu du sort du recours, il y a lieu de condamner l'intimé au paiement d'un émolument de CHF 200.-.</w:t>
      </w:r>
    </w:p>
    <w:p>
      <w:r>
        <w:t>A/1561/2020 - 24/24 -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