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ATAS/1235/2013 vom 12. Dezember 2013</w:t>
      </w:r>
    </w:p>
    <w:p>
      <w:r>
        <w:t>GE Cour de justice, 2013-12-12, FR</w:t>
      </w:r>
    </w:p>
    <w:p>
      <w:r>
        <w:rPr>
          <w:b/>
        </w:rPr>
        <w:t xml:space="preserve">Quelle: </w:t>
      </w:r>
      <w:r>
        <w:t>https://mcp.opencaselaw.ch/entscheid/ge_gerichte_ATAS_1235_2013</w:t>
      </w:r>
    </w:p>
    <w:p>
      <w:r>
        <w:t>FR: GE_GERICHTE ATAS/1235/2013 du 12 décembre 2013</w:t>
      </w:r>
    </w:p>
    <w:p>
      <w:r>
        <w:t>IT: GE_GERICHTE ATAS/1235/2013 del 12 dicembre 2013</w:t>
      </w:r>
    </w:p>
    <w:p>
      <w:pPr>
        <w:pStyle w:val="Heading2"/>
      </w:pPr>
      <w:r>
        <w:t>Regeste</w:t>
      </w:r>
    </w:p>
    <w:p>
      <w:r>
        <w:t>Résumé: Selon l'art. 13 al. 2 LPGA, une personne est réputée avoir sa résidence habituelle au lieu où elle séjourne un certain temps même si la durée du séjour est d'emblée limitée. Selon la jurisprudence, il n'y a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En vertu de l'art. 2 al. 1 let. a LPCC, ont droit aux prestations complémentaires cantonales les personnes qui ont leur domicile et leur résidence habituelle sur le territoire de la République et canton de Genève. Etant donné que la LPGA et la LPC ne sont applicables en matière de prestations complémentaires cantonales qu'en cas de silence de la loi (art. 1A LPCC) et que l'art. 2 al. 1 let. a LPCC ne renvoie pas de façon expresse à la notion de domicile selon l'art. 13 LPGA, il y a lieu de se demander si la notion de domicile et de résidence habituelle selon l'art. 2 al. 1 let. a LPCC est identique à celle de l'art. 13 LPGA et donc à celle de l'art. 4 al. 1 LPC. Au vu de la volonté du législateur qui est d'harmoniser les notions du droit cantonal avec celles du droit fédéral, la notion de domicile et de résidence habituelle de l'art. 2 al. 1 LPCC doit être interprétée de la même manière que celle de l'art. 13 LPGA et donc de celle de l'art. 4. Selon l'art. 1 al. 1 RPCC-AVS/AI, le bénéficiaire qui séjourne hors du canton plus de 3 mois au total par année perd son droit aux prestations à moins qu'il ne s'agisse d'une hospitalisation ou d'un placement dans un home ou dans un établissement médico-social pour personnes âgées ou invalides. Le RPCC est une ordonnance d'exécution. Or, l'art. 1 al. 1 RPCC, en tant qu'il pose une règle nouvelle restreignant le droit des administrés, outrepasse l'art. 2 al. 1 let. a LPCC puisqu'il définit la notion de la résidence de façon plus restrictive que la jurisprudence. Par conséquent, l'art. 1 al. 1 RPCC n'est pas applicable. Dans le cas de l'assurée qui a séjourné à l'étranger pendant 352 jours et a clairement annoncé au SPC le but de son séjour comme étant le suivi de diverses procédures en cours au Cameroun et que tel a effectivement été le cas, il convient d'admettre que le séjour à l'étranger, inférieur à douze mois, n'a pas interrompu sa résidence habituelle à Genève.</w:t>
      </w:r>
    </w:p>
    <w:p>
      <w:pPr>
        <w:pStyle w:val="Heading2"/>
      </w:pPr>
      <w:r>
        <w:t>Erwägungen</w:t>
      </w:r>
    </w:p>
    <w:p>
      <w:r>
        <w:rPr>
          <w:b/>
        </w:rPr>
        <w:t>E. 29</w:t>
      </w:r>
    </w:p>
    <w:p>
      <w:r>
        <w:t>février 2012 annulée. Il incombera à l’intimé de rependre le versement des prestations à la recourante dès le 1er mars 2012. Vu l’issue du recours une indemnité de 2’000 fr. sera allouée à la recourante, à charge de l’intimé.</w:t>
      </w:r>
    </w:p>
    <w:p>
      <w:r>
        <w:t>A/2130/2013 - 16/16 - PAR CES MOTIFS, LA CHAMBRE DES ASSURANCES SOCIALES : Statuant conformément à l’art. 133 al. 2 LOJ A la forme : 1. Déclare le recours recevable. Au fond : 2. L’admet. 3. Annule la décision de l’intimé du 27 mai 2013. 4. Renvoie la cause à l’intimé pour nouvelle décision dans le sens des considérants. 5. Renvoie la cause à l’intimé afin qu’il traite le recours au titre d’une opposition de la recourante aux décisions de restitutions des 24 et 27 mai 2013. 6. Condamne l’intimé à verser une indemnité de 2’000 fr. à la recourante.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