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ATAS/1233/2013 vom 10. Dezember 2013</w:t>
      </w:r>
    </w:p>
    <w:p>
      <w:r>
        <w:t>GE Cour de justice, 2013-12-10, FR</w:t>
      </w:r>
    </w:p>
    <w:p>
      <w:r>
        <w:rPr>
          <w:b/>
        </w:rPr>
        <w:t xml:space="preserve">Quelle: </w:t>
      </w:r>
      <w:r>
        <w:t>https://mcp.opencaselaw.ch/entscheid/ge_gerichte_ATAS_1233_2013</w:t>
      </w:r>
    </w:p>
    <w:p>
      <w:r>
        <w:t>FR: GE_GERICHTE ATAS/1233/2013 du 10 décembre 2013</w:t>
      </w:r>
    </w:p>
    <w:p>
      <w:r>
        <w:t>IT: GE_GERICHTE ATAS/1233/2013 del 10 dicembre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la remise de l'obligation de rembourser la somme de 1'905 fr. 75, étant rappelé que la décision du 10 janvier 2013 fixant le principe et le montant de la restitution, est entrée en force.</w:t>
      </w:r>
    </w:p>
    <w:p>
      <w:r>
        <w:rPr>
          <w:b/>
        </w:rPr>
        <w:t>E. 4</w:t>
      </w:r>
    </w:p>
    <w:p>
      <w:r>
        <w:t>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w:t>
      </w:r>
    </w:p>
    <w:p>
      <w:r>
        <w:rPr>
          <w:b/>
        </w:rPr>
        <w:t>E. 5</w:t>
      </w:r>
    </w:p>
    <w:p>
      <w:r>
        <w:t>La bonne foi doit faire l’objet d’un examen minutieux dans chaque cas particulier A cet égard, la jurisprudence développée à propos de l’art. 47 al. 1 de la loi fédérale sur l'assurance-vieillesse et survivants du 20 décembre 1946 (LAVS ; en vigueur</w:t>
      </w:r>
    </w:p>
    <w:p>
      <w:r>
        <w:t>A/3058/2013 - 5/7 - jusqu’au 31 décembre 2002) est applicable par analogie en matière d’assurance- chômage (ATF 126 V 48, consid. 1b, p. 50). C'est ainsi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 Il en résulte que la mauvaise foi ne peut être qu'antérieure ou contemporaine de la perception indue de prestations (ATF non publié du 17 avril 2008, 8C_766/2007, consid. 4.1 et les références citées).</w:t>
      </w:r>
    </w:p>
    <w:p>
      <w:r>
        <w:rPr>
          <w:b/>
        </w:rPr>
        <w:t>E. 6</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w:t>
      </w:r>
    </w:p>
    <w:p>
      <w:r>
        <w:t>A/3058/2013 - 6/7 - l’appréciation au moment où la décision attaquée a été rendue (ATF 99 V 102 et les arrêts cités ; ATFA du 18 juillet 2005, I 321/04, consid. 5).</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Il s'agit en l’espèce d'examiner la condition de la bonne foi.</w:t>
      </w:r>
    </w:p>
    <w:p>
      <w:r>
        <w:rPr>
          <w:b/>
        </w:rPr>
        <w:t>E. 9</w:t>
      </w:r>
    </w:p>
    <w:p>
      <w:r>
        <w:t>Il n’est pas contesté que l'assuré a reçu de la Caisse de chômage le 16 août 2012 une somme de 1'905 fr. 75. Il allègue avoir cru qu'il s'agissait des indemnités qui lui étaient versées tardivement pour la période durant laquelle il était au chômage en décembre 2008. Force est de constater toutefois qu'il était expressément indiqué sur le décompte accompagnant ces indemnités qu'elles étaient dues pour le mois de mars 2009. L'assuré s'est ainsi contenté de les encaisser sans signaler à la Caisse de chômage que peut-être une erreur avait été commise, sans se renseigner aucunement. Or, il ne pouvait manquer de comprendre qu'il ne lui était pas possible de recevoir des indemnités de l'assurance-chômage alors que dans le même temps il travaillait et percevait un salaire. Il ne saurait par ailleurs justifier son comportement par le fait que la Caisse de chômage s'était trompée.</w:t>
      </w:r>
    </w:p>
    <w:p>
      <w:r>
        <w:rPr>
          <w:b/>
        </w:rPr>
        <w:t>E. 10</w:t>
      </w:r>
    </w:p>
    <w:p>
      <w:r>
        <w:t>Il y a donc lieu de considérer, au vu de ce qui précède, que l'assuré a commis pour le moins une négligence grave en gardant par devers lui les indemnités indument perçues, sans en informer la Caisse de chômage, de sorte qu’il y a lieu de nier sa bonne foi. Partant, il n'est pas nécessaire d'examiner si la restitution de ces prestations pourrait le mettre dans une situation difficile. C'est dès lors à juste titre que le service juridique de l'OCE a refusé de lui accorder la remise. Aussi le recours, manifestement infondé, doit-il être rejeté.</w:t>
      </w:r>
    </w:p>
    <w:p>
      <w:r>
        <w:t>A/3058/2013 - 7/7 -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