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ATAS/1233/2011 vom 13. Dezember 2011</w:t>
      </w:r>
    </w:p>
    <w:p>
      <w:r>
        <w:t>GE Cour de justice, 2011-12-13, FR</w:t>
      </w:r>
    </w:p>
    <w:p>
      <w:r>
        <w:rPr>
          <w:b/>
        </w:rPr>
        <w:t xml:space="preserve">Quelle: </w:t>
      </w:r>
      <w:r>
        <w:t>https://mcp.opencaselaw.ch/entscheid/ge_gerichte_ATAS_1233_2011</w:t>
      </w:r>
    </w:p>
    <w:p>
      <w:r>
        <w:t>FR: GE_GERICHTE ATAS/1233/2011 du 13 décembre 2011</w:t>
      </w:r>
    </w:p>
    <w:p>
      <w:r>
        <w:t>IT: GE_GERICHTE ATAS/1233/2011 del 13 dicembre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w:t>
      </w:r>
    </w:p>
    <w:p>
      <w:r>
        <w:t>A/1653/2011 - 7/13 -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4</w:t>
      </w:r>
    </w:p>
    <w:p>
      <w:r>
        <w:t>Le litige est désormais limité à la question du gain potentiel de l'époux de l'assurée, celle-ci ayant admis que la question des allocations familiales et celle de la rente LPP ne sont plus litigieuses. S'agissant de la contribution d'entretien, le SPC propose que le recours soit admis sur ce point.</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w:t>
      </w:r>
    </w:p>
    <w:p>
      <w:r>
        <w:t>A/1653/2011 - 8/13 - complémentaire annuelle, des enfants dont les revenus déterminants dépassent les dépenses reconnues. b)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rPr>
          <w:b/>
        </w:rPr>
        <w:t>E. 6</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w:t>
      </w:r>
    </w:p>
    <w:p>
      <w:r>
        <w:t>A/1653/2011 - 9/13 -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w:t>
      </w:r>
    </w:p>
    <w:p>
      <w:r>
        <w:t>A/1653/2011 - 10/13 -</w:t>
      </w:r>
    </w:p>
    <w:p>
      <w:r>
        <w:rPr>
          <w:b/>
        </w:rPr>
        <w:t>E. 7</w:t>
      </w:r>
    </w:p>
    <w:p>
      <w:r>
        <w:t>En l'espèce, la contribution d'entretien versée par l'époux de l'assurée depuis l'ordonnance sur mesures pré-provisoires du 12 octobre 2009 est clairement destinée aux enfants. D'une part, bien que l'ordonnance fixe la contribution sans examen approfondi des pièces, il s'avère au vu des allégués de la demande du 23 septembre 2009 que si l'assurée n'avait pas eu d'enfants, son propre minimum vital restreint (1'454 fr. de loyer, 25 fr. de part non couverte Lamal, 1'250 fr. de minimum vital OP et 70 fr. de transports) aurait été couvert par ses revenus (3'223 fr. de rentes AI et LPP), excluant ainsi toute contribution dans l'urgence, sous réserve du fait que le montant alors communiqué pour la rente LPP était sous- évalué. D'autre part, il ressort du jugement sur mesures protectrices du 21 janvier 2010 que les revenus réellement réalisés par l'époux de l'assurée (3'697 fr.) ne couvrent pas son minimum vital strict (3'866 fr. 90), alors qu'il est notoire que ce n'est que lorsqu'il s'agit de l'entretien des enfants que les juges acceptent de déroger au principe de la couverture du minimum vital du débirentier. Enfin, il ressort du projet de convention de divorce conclue par les époux, dont les termes ont été confirmés en audience par l'époux de l'assurée, que ce dernier versera après le divorce une contribution à l'entretien de ses enfants exclusivement et du même montant que celui fixé sur mesures protectrices. Ainsi et malgré le terme usuel de "contribution à l'entretien de la famille" qui découle de l'obligation d'entretien durant le mariage et qui perdure lors d'une séparation au bénéfice de mesures protectrices, il s'avère que la contribution de 600 fr. prévue sur mesures pré- provisoires et de 400 fr. sur mesures protectrices constitue un revenu des enfants au sens de la LPC qui doit donc être exclu des plans de calculs du SPC dès que les enfants en sont eux-mêmes exclus. Sur ce point, le recours est bien fondé et c'est à juste titre que le SPC l'admet à l'issue de l'instruction.</w:t>
      </w:r>
    </w:p>
    <w:p>
      <w:r>
        <w:rPr>
          <w:b/>
        </w:rPr>
        <w:t>E. 8</w:t>
      </w:r>
    </w:p>
    <w:p>
      <w:r>
        <w:t>S'agissant de la question du gain potentiel, il convient de relever ce qui suit. La décision dont est recours est celle du 19 février 2010 qui supprime tout droit à des prestations complémentaires dès le 1er mai 2008 et, corollairement réclame le remboursement de 15'924 fr. 95, en raison de l'augmentation des rentes AI et LPP dès cette date. Il s'avère que c'est par décision du 26 février 2009 (et non pas du 31 mars 2009) que le SPC a retenu un gain potentiel pour l'époux de l'assurée dès le 1er novembre 2008. Cet élément des plans de calcul n'a ensuite plus été modifié mais simplement repris notamment dans les décisions du 31 mars 2009 et du 19 février 2010 et limité au 31 août 2009, les époux étant séparés dès le 1er septembre 2009. Le grief de l'assurée est de deux ordres. D'une part, le SPC aurait dû revoir sa position avec l'écoulement du temps démontrant que les recherches restaient infructueuses et ainsi renoncer au gain potentiel retenu dès le 1er avril 2009 en tout cas. D'autre part, le SPC ne pouvait pas retenir - en juillet et août 2009 - un revenu supérieur à celui effectivement réalisé.</w:t>
      </w:r>
    </w:p>
    <w:p>
      <w:r>
        <w:t>A/1653/2011 - 11/13 - En premier lieu, la décision du 26 février 2009 est entrée en force à défaut d'opposition. En effet, le courrier de l'assurée du 10 mars 2009 ne peut pas être considéré comme une opposition car si telle avait été sa volonté, l'assurée aurait alors manifesté à nouveau son désaccord à réception de la décision du 31 mars 2009, qui maintient ce gain potentiel sans changement. Le grief de l'assurée, concernant un délai d'adaptation qui ne permettrait la prise en compte d'un gain potentiel que trois mois après la fin des indemnités de chômage est dirigé contre la décision du 26 février 2009 et n'est donc plus recevable. Au demeurant, ce sont plutôt les sérieuses, mais vaines recherches d'emploi, si elles avaient été invoquées en temps utile, qui auraient justifié la suppression de tout gain potentiel. En second lieu, le SPC n'avait aucune raison, sauf demande de révision ou de reconsidération formée par l'assurée, de revoir sa position et de renoncer à la prise en compte d'un gain potentiel du seul fait de l'écoulement du temps, qui prouverait l'absence de succès des recherches d'emploi de l'époux de l'assurée. En effet, si le SPC ne peut pas ignorer que les personnes en fin de droit de chômage au RMCAS doivent prouver les recherches d'emploi faites, même si elles ne peuvent pas prétendre à une aide financière, encore faut-il que l'intéressé informe le SPC qu'il est au RMCAS. Ainsi, aucune révision ne se justifiait. En troisième lieu, l'assurée a transmis le 19 août 2009 le montant du salaire réalisé par son époux en juillet 2009. L'audition de l'époux de l'assurée est probante et démontre que celui-ci a activement cherché un emploi, mais en vain, alors qu'il était au RMCAS. De plus, il est admis au degré de la vraisemblance prépondérante que le salaire mensuel effectivement perçu correspond au maximum qui pouvait être réalisé par l'époux de l'assurée, en faisant preuve de bonne volonté, ne serait-ce que du fait qu'il a effectivement vécu de ce seul salaire, après la séparation et n'a pas trouvé d'emploi mieux rémunéré. Par contre, le fait que les indemnités de maladie aient été versées avec retard n'est pas déterminant, s'agissant de fixer la capacité de gain de l'époux de la bénéficiaire des prestations durant la vie commune jusqu'au 31 août 2009, sans égard pour la date du paiement du salaire ou des indemnités, ni de la participation effective dudit mari aux dépenses de la famille durant le mois d'août 2009. C'est ainsi le salaire effectivement réalisé du 15 juillet au 31 août 2009, y compris les indemnités maladie qui serait déterminant. Cela étant, la question de savoir si le SPC aurait dû tenir compte dès le 15 juillet 2009 du salaire effectif de l'époux de l'assurée, à l'exclusion de tout gain potentiel pourra rester ouverte eu égard à ce qui suit. L'intéressé a réalisé un salaire net mensuel de l'ordre de 3'523 fr, à 100% en juillet et en août 2009 (1'761 fr. pour 15 jours en juillet, hors prime, indemnité voiture, etc.) ce qui correspond à 42'282 fr./an et ce montant est ensuite resté stable selon le jugement du 10 janvier 2010 (3'697 fr./mois). Il s'avère ainsi que le salaire réalisé est très légèrement supérieur, voire égal au gain potentiel retenu (41'161 fr.) compte tenu du fait que les indemnités maladie ne représentent que 80% du salaire.</w:t>
      </w:r>
    </w:p>
    <w:p>
      <w:r>
        <w:t>A/1653/2011 - 12/13 - Compte tenu de ce qui précède, la décision du 19 février 2010, en tant qu'elle retient un revenu de 41'161 fr., que ce soit au titre de gain potentiel ou effectif, et ce avant déduction de 1'500 fr. et pris en compte à raison des deux tiers, est bien fondée.</w:t>
      </w:r>
    </w:p>
    <w:p>
      <w:r>
        <w:rPr>
          <w:b/>
        </w:rPr>
        <w:t>E. 9</w:t>
      </w:r>
    </w:p>
    <w:p>
      <w:r>
        <w:t>Pour plus de clarté, les éléments qui doivent être modifiés dans les plans de calcul de la décision du 19 février 2010 suite à l'annulation de la décision sur opposition du 13 avril 2011, sont les suivants: a) dès le 1er septembre 2009: suppression de la contribution d'entretien (7'200 fr.) des revenus pour le calcul des PCF dont sont exclus les enfants; b) dès le 1er novembre 2009: suppression de la contribution d'entretien (7'200 fr. puis 4'800 fr. dès février 2010) des revenus pour le calcul des PCF et PCC dont sont exclus les enfants. A première vue, il semble que cela ouvre les droits suivants à l'assurée: subside d'assurance-maladie dès le 1er septembre au lieu du 1er novembre 2009 et prestations complémentaires cantonales mensuelles de 263 fr. 75 du 1er novembre 2009 au 31 janvier 2010.</w:t>
      </w:r>
    </w:p>
    <w:p>
      <w:r>
        <w:rPr>
          <w:b/>
        </w:rPr>
        <w:t>E. 10</w:t>
      </w:r>
    </w:p>
    <w:p>
      <w:r>
        <w:t>Le recours est donc partiellement admis et la décision sur opposition du 13 avril 2011 est annulée dans le sens des considérants. Compte tenu du nombre d'écritures et d'audiences, mais de l'admission très partielle du recours, l'indemnité de procédure en faveur de l'assurée est limitée à 1'500 fr.</w:t>
      </w:r>
    </w:p>
    <w:p>
      <w:r>
        <w:t>A/1653/2011 - 13/13 - PAR CES MOTIFS, LA CHAMBRE DES ASSURANCES SOCIALES : Statuant A la forme : 1. Déclare le recours recevable. Au fond : 2. L'admet partiellement, annule la décision sur opposition du 13 avril 2011 et renvoie la cause à l'intimé pour nouveaux calculs et nouvelle décision dans le sens des considérants. 3. Condamne l'intimé au paiement d'une indemnité de procédure de 1'500 fr. en faveur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