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ATAS/1232/2020 vom 17. Dezember 2020</w:t>
      </w:r>
    </w:p>
    <w:p>
      <w:r>
        <w:t>GE Cour de justice, 2020-12-17, FR</w:t>
      </w:r>
    </w:p>
    <w:p>
      <w:r>
        <w:rPr>
          <w:b/>
        </w:rPr>
        <w:t xml:space="preserve">Quelle: </w:t>
      </w:r>
      <w:r>
        <w:t>https://mcp.opencaselaw.ch/entscheid/ge_gerichte_ATAS_1232_2020</w:t>
      </w:r>
    </w:p>
    <w:p>
      <w:r>
        <w:t>FR: GE_GERICHTE ATAS/1232/2020 du 17 décembre 2020</w:t>
      </w:r>
    </w:p>
    <w:p>
      <w:r>
        <w:t>IT: GE_GERICHTE ATAS/1232/2020 del 17 dicembre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À teneur de l'art. 1 al. 1 LAA, les dispositions de la LPGA s'appliquent à l'assurance-accidents, à moins que la loi n'y déroge expressément.</w:t>
      </w:r>
    </w:p>
    <w:p>
      <w:r>
        <w:rPr>
          <w:b/>
        </w:rPr>
        <w:t>E. 2</w:t>
      </w:r>
    </w:p>
    <w:p>
      <w:r>
        <w:t>Interjeté dans les forme et délai prévus par la loi, compte tenu de la suspension des délais pour la période du 15 juillet au 15 août inclusivement (art. 38 al. 4 let. b LPGA et art. 89C let. b de la de loi sur la procédure administrative du 12 septembre 1985 [LPA - E 5 10]), le recours est recevable (art. 56ss LPGA et 62ss LPA).</w:t>
      </w:r>
    </w:p>
    <w:p>
      <w:r>
        <w:rPr>
          <w:b/>
        </w:rPr>
        <w:t>E. 3</w:t>
      </w:r>
    </w:p>
    <w:p>
      <w:r>
        <w:t>Le litige porte sur le droit éventuel du recourant à une rente d’invalidité et à une indemnité pour atteinte à l’intégrité.</w:t>
      </w:r>
    </w:p>
    <w:p>
      <w:r>
        <w:t>A/3126/2019 - 8/20 -</w:t>
      </w:r>
    </w:p>
    <w:p>
      <w:r>
        <w:rPr>
          <w:b/>
        </w:rPr>
        <w:t>E. 4</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Conformément à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5</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b/aa. Le revenu d'invalide doit en principe être évalué en fonction de la situation professionnelle concrète de l'assuré. Le salaire effectivement réalisé ne peut</w:t>
      </w:r>
    </w:p>
    <w:p>
      <w:r>
        <w:t>A/3126/2019 - 9/20 -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 b/bb.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w:t>
      </w:r>
    </w:p>
    <w:p>
      <w:r>
        <w:t>A/3126/2019 - 10/20 -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5.1</w:t>
      </w:r>
    </w:p>
    <w:p>
      <w:r>
        <w:t>et les références). En cela, l’indemnité pour atteinte à l’intégrité se distingue de la réparation morale selon le droit civil, qui n’implique pas une atteinte durable et qui vise toutes les souffrances graves liées à une lésion corporelle (ATF 133 V 224</w:t>
      </w:r>
    </w:p>
    <w:p>
      <w:r>
        <w:t>A/3126/2019 - 17/20 -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L’art. 36 al. 4 OLAA dispose que lors de la fixation de l’indemnité, il sera équitablement tenu compte des aggravations prévisibles de l’atteinte à l’intégrité (1ère phrase). Une révision n’est possible qu’en cas exceptionnel, si l’aggravation est importante et n’était pas prévisible (2ème phrase). Selon la jurisprudence, une détérioration prévisible est réputée exister si, au moment où l’IPAI est fixée, elle peut être considérée comme probable et donc faire l’objet d’une estimation. Les détériorations imprévisibles ne peuvent pas, par essence, être prises en compte de manière anticipée. Par conséquent, si l’atteinte à la santé se développe dans le cadre du pronostic initial, la révision d’une indemnité d’intégrité une fois qu’elle a été accordée est exclue. En revanche, l’indemnisation doit être redéfinie si l’atteinte à l’intégrité s’aggrave par la suite dans une mesure nettement plus importante que prévu. L’exigence d’une indemnisation adéquate n’est satisfaite que si l’assuré reçoit une somme forfaitaire supplémentaire qui, avec la prestation précédente, correspond à l’atteinte définitive à l’intégrité (arrêt du Tribunal fédéral 8C_885/2014 du 17 mars 2015 consid. 2.2.1). À titre d’exemples, le Tribunal fédéral a nié le caractère prévisible d’une aggravation en fonction de l’indication du médecin selon laquelle « il n’était pas impossible » que l’affection (périarthrite scapulo-humérale) entraînât « d’ici quelques années » une arthrose moyenne (RAMA 1998 p. 602 consid. 3b); à l’inverse, il a admis l’aggravation prévisible d’une arthrose du genou dans le cas où le médecin a fait état d’une telle aggravation « en raison de l’évolution toujours défavorable de l’arthrose » (arrêt du Tribunal fédéral 8C_459/2008 du 4 février 2009 consid. 2.3, in SVR 2009 UV n° 27 p. 98).</w:t>
      </w:r>
    </w:p>
    <w:p>
      <w:r>
        <w:t>A/3126/2019 - 18/20 - c. Le pronostic (évaluation médicale de l’évolution probable d’une atteinte à la santé dans un cas particulier) est une question de fait qui doit être évaluée sur la base de constatations médicales (ATF 132 V 393 consid. 3.2). Dans ce contexte, il convient de noter que les décisions fondées sur des évaluations médicales internes qui proviennent essentiellement ou exclusivement de la procédure devant l’assureur doivent être soumises à des exigences strictes en matière d’appréciation des preuves. S’il existe le moindre doute quant à la fiabilité et au caractère concluant des résultats médicaux, une expertise médicale externe doit être ordonnée dans le cadre d’une procédure au titre de l’art. 44 LPGA ou d’un avis du tribunal (ATF 135 V 465 consid. 4; ATF 122 V 157 consid. 1d).</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A/3126/2019 - 11/20 -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w:t>
      </w:r>
    </w:p>
    <w:p>
      <w:r>
        <w:t>A/3126/2019 - 12/20 -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pour nier le droit à une rente d’invalidité au recourant, la décision entreprise se fonde sur les conclusions du Dr D______, prises à l’issue de l’examen final du 23 octobre 2017, aux termes desquelles les lésions au coude droit et au pouce gauche n’empêchent pas l’exercice d’une activité à plein temps, sans baisse de rendement, du moment que celle-ci n’implique ni port occasionnel de charges supérieures à 15 kg, ni escalade d’échelles. Comportant un examen clinique de l’assuré, un résumé des rapports médicaux et documents d’imagerie depuis le jour de l’accident, relatant les plaintes de l’intéressé, motivant les diagnostics de même que leurs répercussions fonctionnelles, le rapport du Dr D______ remplit les réquisits jurisprudentiels permettant de lui reconnaître valeur probante. Sans contester formellement l’appréciation du Dr D______ en tant qu’elle lui reconnaît une capacité de travail entière dans une activité adaptée aux limitations fonctionnelles énumérées, le recourant se prévaut néanmoins d’un rapport du Dr G______, concluant déjà l’impossibilité de porter des charges supérieures à 5 kg au vu de l’arthrose évolutive et des douleurs mécaniques. Cela étant, le Dr G______ explique son appréciation par des éléments qui, s’ils sont</w:t>
      </w:r>
    </w:p>
    <w:p>
      <w:r>
        <w:t>A/3126/2019 - 13/20 - objectivement vérifiables (le CT-Scan du coude droit et du poignet gauche réalisé le 2 décembre 2019), ne sauraient être pris en compte dès lors qu’ils sont postérieurs à la décision litigieuse (ATF 132 V 215 consid. 3.1.1 ; 121 V 362 consid. 1b et les arrêts cités). On ne saurait d’ailleurs tirer la conclusion de son rapport de décembre 2019 que la limite de poids à 5 kg aurait été déjà d’actualité au moment où la décision a été rendue, en mai 2019. Quant au rapport du Dr E______ du 29 mai 2019, il est certes antérieur à la décision litigieuse, mais son auteur - qui n’est d’ailleurs pas un spécialiste en orthopédie - se contente pour l’essentiel de relayer les plaintes de son patient, sans indiquer en quoi et sur la base de quels arguments l’appréciation du Dr D______ serait erronée. Compte tenu de ce qui précède, il faut conclure que ni le rapport du 6 décembre 2019 du Dr G______, ni le rapport du 29 mai 2019 du Dr E______ ne sont de nature à remettre en cause les conclusions du Dr D______. Par conséquent, la Cour de céans s’en tiendra à l’appréciation de ce dernier (totale incapacité de travail dans l’activité antérieure de poseurs de sols, mais exercice possible à plein temps d’une profession adaptée aux limitations fonctionnelles décrites).</w:t>
      </w:r>
    </w:p>
    <w:p>
      <w:r>
        <w:rPr>
          <w:b/>
        </w:rPr>
        <w:t>E. 9</w:t>
      </w:r>
    </w:p>
    <w:p>
      <w:r>
        <w:t>a. Pour la détermination du degré d’invalidité du recourant, il y a lieu de procéder à la comparaison des revenus en 2019, dès lors que les mesures de réadaptation de l’OAI ont duré jusqu’à l’année en question. On précisera également que les variations enregistrées par les revenus à comparer doivent être prises en compte jusqu’à la date de la décision sur opposition (cf. ATF 143 V 295 consid. 4.1.3), en l’occurrence le 27 juin 2019. b. Dans un premier moyen, le recourant conteste le revenu sans invalidité arrêté à CHF 72’905.82, motif pris que deux de ses anciens collègues ont réalisé en 2019 un revenu légèrement supérieur à celui de 31.35 CHF/h. retenu par l’intimée sur la base des renseignements fournis par son employeur. Cependant, on ne saurait mettre en doute les renseignements donnés par l’employeur en invoquant les revenus d’autres personnes encore actives dans l’entreprise, dont on ignore si la situation est totalement comparable à celle du recourant. Ainsi, divers facteurs peuvent jouer un rôle décisif : le montant négocié au moment de l’embauche, les qualifications et diplômes des dites personnes, leur ancienneté dans l’entreprise, etc. Aussi, la Cour de céans tient- elle pour établi, au degré de la vraisemblance prépondérante, que s’il avait poursuivi son activité de poseur de sols, le recourant aurait été rémunéré CHF 72’905.82 en 2019. c. S’agissant du revenu d’invalide, il convient de rappeler que le recourant, incapable désormais d’exercer son activité habituelle, a bénéficié de mesures d’intervention précoce, notamment plusieurs cours de français. Il ressort par ailleurs du dossier AI que le recourant a également suivi, dès octobre 2017, divers enseignements auprès d’un centre de formation continue (le CEFIL), à savoir : un</w:t>
      </w:r>
    </w:p>
    <w:p>
      <w:r>
        <w:t>A/3126/2019 - 14/20 - cours de nettoyeur qualifié, un cours « d’agent de maintenance bâtiment » et un cours d’aide-jardinier (dossier AI, doc. 47, pp. 237-238), sanctionnés par des certificats de formation continue de nettoyeur qualifié, d’agent de maintenance de bâtiment et de gardien d’immeuble (dossier AI, pp. 465, 483 et 499), mesures auxquelles s’est ajouté, le 29 octobre 2018, un placement à l’essai, sous la forme d’un stage, du 19 novembre 2018 au 31 janvier 2019, au sein du service « bâtiments et infrastructures » de la commune de Perly-Certoux, lors duquel l’assuré a pu mettre en pratique, et de manière concluante, ses connaissances nouvellement acquises (dossier AI, pp. 513, 536 et 544), avec les « encouragements » du Dr C______ (dossier AI, doc. 53, p. 466). Enfin, il ressort d’une note de travail de l’OAI, prise lors d’un entretien téléphonique du 13 février 2019, qu’à l’issue du stage en question, qui s’était « très bien passé », l’assuré s’est réinscrit au chômage 1er février 2019. Au vu de ces éléments, la manière dont l’intimée a déterminé le revenu d’invalide sur la base de données statistiques n’apparaît pas critiquable. Force est cependant de relever que si, dans son calcul du 21 mai 2019, l’intimée s’est référée à l’estimation trimestrielle de l’évolution des salaires nominaux – qui mentionnait, toutes branches confondues, une progression de 0.4% en 2017, de 0.5% en 2018 et de 0.5% au premier trimestre 2019 -, elle s’est en partie écartée de cette méthode en reprenant, dans la décision querellée, la progression de l’indice des salaires nominaux pour la branche considérée (ligne 77-82 du tableau T1.1.15 [activités de services administratifs et de soutien] ; dossier SUVA, doc. 187), laquelle fait également état d’une progression de 0.4% en 2017, mais de seulement 0.2% en 2018. Faute de statistiques correspondantes pour 2019 à la date de la décision entreprise (la progression de 0.3% en 2019, enregistrée pour les activités de la ligne 77-82, n’a été publiée par l’Office fédéral de la statistique [OFS] que le 29 juin 2020), l’intimée s’est fondée sur l’estimation de 0.5%, faite par l’OFS à l’issue du 1er trimestre de l’année 2019, toutes branches confondues, permettant ainsi d’obtenir un revenu d’invalide de CHF 66’004.16. Cela l’a conduite, après comparaison avec le revenu sans invalidité de CHF 72’905.82 (au lieu de CHF 65’872.81), un degré d’invalidité de 9.46%, (au lieu de 9.64%), arrondi à 10%, en tenant compte de la progression de 0.3 % évoquée. Cela étant, même s’il est préférable de prendre en compte l’évolution du secteur ou de la branche économique concernés, par souci de cohérence et de précision (arrêts du Tribunal fédéral 8C_671/2013 du 20 février 2014 consid. 4.3 et 9C_748/2009 du 16 avril 2010), il est des cas où il y a lieu de se référer, par défaut, à l’indice de la ligne « Total » (toutes branches économiques confondues), notamment en l’absence de statistiques relatives à la branche concernée (cf. David IONTA, Fixation du revenu d’invalide selon l’ESS, in Jusletter du 22 octobre 2018, p. 20). De plus, pour la comparaison des revenus, ce sont les circonstances au moment du début du droit à la rente qui sont déterminantes, étant précisé que les éventuels changements qui se répercutent sur les revenus à comparer ne doivent être pris en</w:t>
      </w:r>
    </w:p>
    <w:p>
      <w:r>
        <w:t>A/3126/2019 - 15/20 - compte que jusqu’à la date de la décision sur opposition (ATF 143 V 295 consid. 4.1.3). Il s’ensuit que la décision litigieuse ne prête pas le flanc à la critique en tant qu’elle fixe le revenu d’invalide à CHF 66’004.16. Enfin, sous réserve d’une éventuelle réduction supplémentaire de ce revenu (ci- après : consid. 10), le taux d’invalidité a également été fixé correctement à 9% ([72’905.82 - 66’004.16] x 100 / 72’905.82 = 9.46%, arrondi à 9%).</w:t>
      </w:r>
    </w:p>
    <w:p>
      <w:r>
        <w:rPr>
          <w:b/>
        </w:rPr>
        <w:t>E. 10</w:t>
      </w:r>
    </w:p>
    <w:p>
      <w:r>
        <w:t>% compte tenu de ses limitations fonctionnelles. Il est vrai que le recourant ne pouvant plus exercer son activité habituelle, cela se traduit, au moment de la naissance du droit (éventuel) à une rente, en 2019, par l’absence d’années de service dans une activité adaptée à ses limitations fonctionnelles. Cependant, le critère des années de service ne peut en principe intervenir que dans l’hypothèse où l’assuré approche de l’âge ordinaire de la retraite (arrêt du Tribunal fédéral 9C_874/2014 du 2 septembre 2015 consid. 3.3.2), ce qui n’est pas le cas du recourant, âgé de 40 ans en 2019. Pour cette même raison, le critère de l’âge doit être écarté. Il en va de même du niveau de formation et de maîtrise de la langue écrite, les mesures prises par l’OAI ayant précisément permis au recourant d’atteindre le niveau requis (documenté par les certificats du CEFIL précités), pour pouvoir exercer, sur le marché équilibré du travail, une activité de niveau 2 relevant de la ligne 77, 79-82 du tableau TA1. Enfin, le critère de la nationalité n’entre pas non plus en ligne de compte, le recourant étant suisse. Il est certes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(ATF 124 V 321 consid. 3b/bb précité). Cependant, le simple fait qu’un assuré ne puisse plus qu’exercer des activités légères de niveau 1 ne justifie pas à lui seul un abattement sur le revenu statistique (arrêt du Tribunal fédéral 9C_284/2018 du 17 juillet 2018 consid. 2.2.1; Thomas FLÜCKIGER, in Frésard-Fellay, Leuzinger, Pärli [éd], Basler Kommentar, Unfallversicherungsgesetz, n. 46 ad art. 18 LAA). Encore faut-il qu’il existe, dans le cas concret, des indices selon lesquels la personne assurée ne peut exploiter sa capacité de travail résiduelle sur le marché équilibré du travail qu’au prix de conditions salariales inférieures à la moyenne (ATF 126 V 75 consid. 5b/aa). L’OAI, dans sa décision du 21 mai 2019 par l’OAI, motive la réduction supplémentaire du revenu d’invalide comme suit :</w:t>
      </w:r>
    </w:p>
    <w:p>
      <w:r>
        <w:t>A/3126/2019 - 16/20 - « Dans votre cas, en raison de vos limitations fonctionnelles, nous vous accordons une réduction supplémentaire de 10% sur le revenu d’invalide […] ». Or, dans le cas concret, les cours suivis et les certificats de nettoyeur qualifié, d’agent de maintenance de bâtiment et de gardien d’immeuble obtenus par le recourant dans le cadre des mesures de détection précoce de l’OAI vont d’autant moins dans le sens d’un engagement à des conditions salariales inférieures à la moyenne que, d’un point de vue médical, rien ne s’oppose à l’exercice d’une activité de niveau 2 relevant de la ligne 77,79-81 du tableau TA1. En effet, dans un rapport du 9 novembre 2017 à l’office cantonal des assurances sociales, le Dr C______ a apprécié la reconversion professionnelle en cours en ces termes : « Je pense qu’il est de bonne augure de l’encourager pour une reconversion maximaliste et que ses chances de retrouver un travail, s’il obtient un diplôme de responsable d’immeuble, sont très grandes » (dossier AI, doc. 53). Dans ces circonstances, la décision litigieuse n’est pas critiquable en tant qu’elle refuse de réduire de 10% le revenu statistique d’invalide au titre des limitations fonctionnelles retenues par le Dr D______.</w:t>
      </w:r>
    </w:p>
    <w:p>
      <w:r>
        <w:rPr>
          <w:b/>
        </w:rPr>
        <w:t>E. 11</w:t>
      </w:r>
    </w:p>
    <w:p>
      <w:r>
        <w:t>Il convient encore d’examiner la question de l’IPAI.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w:t>
      </w:r>
    </w:p>
    <w:p>
      <w:r>
        <w:rPr>
          <w:b/>
        </w:rPr>
        <w:t>E. 12</w:t>
      </w:r>
    </w:p>
    <w:p>
      <w:r>
        <w:t>En l’espèce, il ressort des conclusions de l’examen final pratiqué le 23 octobre 2017 par le Dr D______ qu’à l’examen des clichés des 5 avril 2016 et 29 juin 2017, il n’y avait pas d’arthrose huméro-radiale, mais un simple risque d’arthrose post- traumatique. Ce médecin indique également que, dans un rapport du 21 décembre 2016, le Dr C______ a fait mention d’une lésion pouvant potentiellement évoluer vers une arthrose de la tête radiale. Cependant, la lecture de ce rapport du Dr C______ paraît biaisée. En effet, ce médecin y indique que l’état est marqué par une arthrose radio-ulnaire proximale, source de « grattage » et de douleurs et qu’il faut s’attendre à la persistance d’un problème, sous la forme d’une lésion arthrosique de la tête radiale. Par ailleurs, dans un autre rapport, daté du 30 août 2017 (absent du dossier préparé à l’intention de la Cour de céans mais néanmoins transmis à l’OAI ; dossier AI, doc. 43, p. 226), le Dr C______ précise que « le patient continue à présenter […] un grattage articulaire du coude en lien avec une arthrose débutante ». Au vu de ces éléments antérieurs à la décision, accrédités par l’évolution postérieure du cas relatée par le Dr G______, il est pour le moins douteux qu’à la date de la décision entreprise (qui précède de cinq mois seulement les documents d’imagerie du 2 décembre 2019), le développement d’une arthrose au coude droit et au poignet gauche ait simplement relevé du domaine du possible. Dans ces circonstances, l’intimée ne pouvait pas ne pas examiner les aggravations prévisibles de l’atteinte à l’intégrité du recourant et se contenter de conclure à l’absence d’atteinte à l’intégrité sur la base des seuls éléments en sa possession, qui plus est en présentant ceux-ci de manière tronquée. En conséquence, la décision litigieuse est annulée, en tant qu’elle refuse l’octroi d’une IPAI, et la cause renvoyée à l’intimée, à charge pour cette dernière de mettre en œuvre une expertise orthopédique auprès d’un expert indépendant et – une fois connues les conclusions de celui-ci – de rendre une nouvelle décision sur l’octroi ou non d’une telle indemnité. On rappellera qu’il est de la responsabilité de l’intimée de communiquer préalablement à l’assuré le nom de l’expert envisagé, ainsi que la liste des questions qui lui seront soumises.</w:t>
      </w:r>
    </w:p>
    <w:p>
      <w:r>
        <w:t>A/3126/2019 - 19/20 -</w:t>
      </w:r>
    </w:p>
    <w:p>
      <w:r>
        <w:rPr>
          <w:b/>
        </w:rPr>
        <w:t>E. 13</w:t>
      </w:r>
    </w:p>
    <w:p>
      <w:r>
        <w:t>Compte tenu de ce qui précède, le recours est très partiellement admis et la cause renvoyée à l’intimé pour instruction complémentaire au sens des considérants. Le recourant obtenant partiellement gain de cause, une indemnité de CHF 2’000.- lui est accordée à titre de participation à ses frais et dépens, à charge de l’intimée (art. 61 let. g LPGA; art. 89H al. 3 LPA ; art. 6 du règlement sur les frais, émoluments et indemnités en procédure administrative du 30 juillet 1986 – RFPA ; RS E 5 10.03). Pour le surplus, la procédure est gratuite (art. 61 let. a LPGA).</w:t>
      </w:r>
    </w:p>
    <w:p>
      <w:r>
        <w:t>*****</w:t>
      </w:r>
    </w:p>
    <w:p>
      <w:r>
        <w:t>A/3126/2019 - 20/20 -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