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ATAS/1232/2010 vom 12. November 2010</w:t>
      </w:r>
    </w:p>
    <w:p>
      <w:r>
        <w:t>GE Cour de justice, 2010-11-12, FR</w:t>
      </w:r>
    </w:p>
    <w:p>
      <w:r>
        <w:rPr>
          <w:b/>
        </w:rPr>
        <w:t xml:space="preserve">Quelle: </w:t>
      </w:r>
      <w:r>
        <w:t>https://mcp.opencaselaw.ch/entscheid/ge_gerichte_ATAS_1232_2010</w:t>
      </w:r>
    </w:p>
    <w:p>
      <w:r>
        <w:t>FR: GE_GERICHTE ATAS/1232/2010 du 12 novembre 2010</w:t>
      </w:r>
    </w:p>
    <w:p>
      <w:r>
        <w:t>IT: GE_GERICHTE ATAS/1232/2010 del 12 novembre 2010</w:t>
      </w:r>
    </w:p>
    <w:p>
      <w:pPr>
        <w:pStyle w:val="Heading2"/>
      </w:pPr>
      <w:r>
        <w:t>Erwägungen</w:t>
      </w:r>
    </w:p>
    <w:p>
      <w:r>
        <w:rPr>
          <w:b/>
        </w:rPr>
        <w:t>E. 1</w:t>
      </w:r>
    </w:p>
    <w:p>
      <w:r>
        <w:t>Conformément à l'art. 56V al. 1 let. a ch. 2 de la Loi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 Sa compétence pour juger du cas d’espèce est ainsi établie.</w:t>
      </w:r>
    </w:p>
    <w:p>
      <w:r>
        <w:t>A/1378/2008 - 12/19 -</w:t>
      </w:r>
    </w:p>
    <w:p>
      <w:r>
        <w:rPr>
          <w:b/>
        </w:rPr>
        <w:t>E. 2</w:t>
      </w:r>
    </w:p>
    <w:p>
      <w:r>
        <w:t>Déposé dans les forme et délai prévus par la loi, le recours est recevable (art. 56 à 60 LPGA).</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6 mars 2008,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en tenant compte, le cas échéant, des modifications intervenues dans le cadre de la 5ème révision de la LAI entrée en vigueur le 1er janvier 2008.</w:t>
      </w:r>
    </w:p>
    <w:p>
      <w:r>
        <w:rPr>
          <w:b/>
        </w:rPr>
        <w:t>E. 4</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5</w:t>
      </w:r>
    </w:p>
    <w:p>
      <w:r>
        <w:t>a) Il convient en l’occurrence de déterminer si la décision initiale de l’OAI octroyant au recourant une rente entière d’invalidité, dès le 1er octobre 2000, peut être réexaminée par la voie de la révision. b) Selon l’art. 17 LPGA, si le taux d’invalidité du bénéficiaire de la rente subit une modification notable, le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w:t>
      </w:r>
    </w:p>
    <w:p>
      <w:r>
        <w:t>A/1378/2008 - 13/19 - l’état de santé, mais aussi lorsque celui-ci est resté en soi le même, mais que ses conséquences sur la capacité de gain ont subi un changement important (ATF 130 V 349 consid. 3.5 ; 113 V 275 consid. 1a ; 112 V 372 consid. 2b et 390 consid. 1b ; voir également ATF 120 V 131 consid. 3b ; 119 V 478 consid. 1b/aa).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 112 V 372 consid. 2b et 390 consid. 1b). Enfin, l’art. 17 LPGA n’a pas apporté de modification aux principes jurisprudentiels développés sous le régime de l’ancien art. 41 LAI, en vigueur jusqu’au 31 décembre 2002 (ATF 130 V 343 consid. 3.5). En l’occurrence, la décision de l’OAI du 18 avril 2003 octroyant une rente entière, avec effet rétroactif au 1er octobre 2000, était essentiellement basée sur des raisons psychiques. Considérant les conclusions de l’expertises du CMPC dont la valeur probante peut être reconnue et qui admet une capacité de travail de 100% d’un point de vue psychiatrique dans l’activité exercée auparavant, il convient de relever que le taux d’invalidité du recourant a subi une modification notable et que de ce fait la procédure de révision était pleinement justifiée. c)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d) Selon l’art 28 al. 1 LAI dans sa teneur en vigueur jusqu’au 31 décembre 2003, l’assuré a droit à une rente entière s’il est invalide à 66 2/3 % au moins, à une demi- rente s’il est invalide à 50% au moins, ou à un quart de rente s’il est invalide à 40%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les conditions relatives à</w:t>
      </w:r>
    </w:p>
    <w:p>
      <w:r>
        <w:t>A/1378/2008 - 14/19 -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 ATFA non publiés du 17 mai 2005, I 7/05, consid. 2 et du 6 septembre 2004, I 249/04, consid. 4). 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 115 V 134 consid. 2 ; 114 V 314 consid. 3c ; 105 V 158 consid. 1).</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w:t>
      </w:r>
    </w:p>
    <w:p>
      <w:r>
        <w:t>Le juge ne s’écarte en principe pas sans motifs impératifs des conclusions d’une expertise médicale, a fortiori judiciaire, la tâche de l’expert étant précisément de mettre ses connaissances spéciales à la disposition de la justice afin de l’éclaircir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w:t>
      </w:r>
    </w:p>
    <w:p>
      <w:r>
        <w:t>A/1378/2008 - 15/19 -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rPr>
          <w:b/>
        </w:rPr>
        <w:t>E. 6</w:t>
      </w:r>
    </w:p>
    <w:p>
      <w:r>
        <w:t>En l’occurrence, se trouvent notamment au dossier, depuis le début de la procédure de révision de mai 2006, un rapport du Dr. JUGE, un rapport d’expertise du CMPC, le Dr. H__________ et Madame O__________, un rapport d’expertise médicale signé de la Dresse I__________ et de la Dresse J__________ SANTA ainsi qu’un rapport de l’atelier de réadaptation préprofessionnelle établi par la Dresse K__________ et Monsieur P__________ Dans son rapport du 25 septembre 2006, le Dr. G__________ fait mention d’un état stationnaire et des plaintes inchangées mais estime que le recourant a une capacité de travail à 50% depuis 2001 en tant que responsable indépendant en relations publiques et finances. Il sied de relever que les experts du CMPC ont posé les anamnèses, ont fait état des indications subjectives ainsi que des constatations objectives ont procédé à un examen clinique, ont posé des diagnostics, en particulier, le trouble somatoforme douloureux mais ne l’ont pas considéré comme invalidant, et ont conclu à une capacité de travail entière du recourant, sur le plan psychiatrique. Toutefois, la teneur de l’expertise du CMPC, le Dr. H__________ et Madame O__________ avait été totalement contestée par le recourant, raison pour laquelle le Tribunal de céans a ordonné une nouvelle expertise confié aux HUG, Département de médecine interne. Il convient dès lors de déterminer si l’expertise médicale des HUG a pleine valeur probante au sens de la jurisprudence.</w:t>
      </w:r>
    </w:p>
    <w:p>
      <w:r>
        <w:t>A/1378/2008 - 16/19 - Au sujet de l’expertise des HUG, réalisée par la Dresse I__________ et Dresse J__________, il convient de relever que les experts ont posé des anamnèses, pris acte des plaintes et données subjectives de l’assuré, procédé à un status clinique, mentionné les diagnostics et réalisé une appréciation du cas et pronostic. Ces experts ont répondu aux questions sans toutefois être en mesure de se prononcer sur la capacité de travail de l’assuré en précisant cependant qu’un travail de bureau, comme exercé auparavant, semble adapté et que selon le médecin psychiatre, le recourant ne semble plus présenter de troubles psychiatriques suffisamment sévères pouvant empêcher la reprise d’une activité professionnelle. Dans un rapport complémentaire du 25 novembre 2009, la Dresse I__________ et la Dresse J__________ relèvent une suspicion de consommation abusive d’alcool qui permettrait pas notamment au recourant de reprendre une activité professionnelle, fait contesté par l’assuré et contestation confirmée, dans son rapport, par l’atelier de réadaptation préprofessionnelle, en ces termes : « s’il a eu par le passé quelques difficultés à gérer sa consommation d’alcool, cela n’est manifestement plus d’actualité. »</w:t>
      </w:r>
    </w:p>
    <w:p>
      <w:r>
        <w:t>En conséquence, malgré les investigations menées par le Tribunal, constatant l’impossibilité de la Dresse I__________ et la Dresse J__________ à se prononcer sur la capacité de travail du recourant, le Tribunal retiendra que, sur le plan somatique, une pleine capacité de travail est possible dans une activité adaptée (en tenant compte des limitations fonctionnelles du membre supérieur droit) et que, sur le plan psychiatrique, la capacité de travail du recourant est entière. A ce sujet, il sied de relever encore que la Dresse I__________ et la Dresse J__________ SANTA concluaient notamment qu’un travail de bureau, comme exercé auparavant, semblait adapté.</w:t>
      </w:r>
    </w:p>
    <w:p>
      <w:r>
        <w:t>Toutefois, il sied de relever également que, du point de vue somatique, les Dresses I__________ et J__________ ont constaté que les limitations à prendre en compte étaient, avec un horaire normal, une charge légère avec le membre supérieur droit et une charge maximale de 10 kg avec le membre supérieur gauche ainsi qu’aucun travail lourd. Il y a lieu de relever une évolution favorable depuis l’expertise médicale du 25 mars 2003, puisque du point de vue somatique, l’horaire de travail est normal et une charge légère avec le membre supérieur droit est possible. En revanche, l’atelier de réadaptation préprofessionnelle a orienté les tests essentiellement vers des activités manuelles alors que le recourant exerçait précédemment une activité de bureau (gestion de levée de fonds). Si le rapport de l’atelier de réadaptation préprofessionnelle fait état d’une fluctuation de rendement, quantifiée sur une activité adaptée, de l’ordre de 30 à 40% sur un mi-temps, le Tribunal retiendra cependant la conclusion des Dresses I__________ et J__________ selon laquelle un travail de bureau semble adaptée.</w:t>
      </w:r>
    </w:p>
    <w:p>
      <w:r>
        <w:t>A/1378/2008 - 17/19 - Au vu de ce qui précède, il convient de constater que la capacité de travail du recourant est entière dans une activité adaptée à ses limitations fonctionnelles et que sa rente peut donc faire l’objet d’une révision au sens de l’art. 17 LPGA. Le recourant n’a ainsi plus droit à une rente d’invalidité.</w:t>
      </w:r>
    </w:p>
    <w:p>
      <w:r>
        <w:rPr>
          <w:b/>
        </w:rPr>
        <w:t>E. 7</w:t>
      </w:r>
    </w:p>
    <w:p>
      <w:r>
        <w:t>Compte tenu des limitations fonctionnelles au niveau du membre supérieur droit et de la diminution du rendement mentionnée dans le rapport de l’atelier de réadaptation préprofessionnelle, il convient d’examiner si l’assuré peut prétendre à des mesures d’ordre professionnel. Selon l’art. 17 LAI, l’assuré a droit au reclassement dans une nouvelle profession si son invalidité rend cette mesure nécessaire et que sa capacité de gain peut ainsi, selon toute vraisemblance, être maintenue ou améliorée. La rééducation dans la même profession est assimilée au reclassement.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20 % environ (ATF 124 V 110 consid. 2b et les références). Considérant la pleine capacité de travail du recourant, ce dernier n’aura pas droit à une mesure de reclassement. En revanche, le Tribunal fédéral a relevé « si la jurisprudence a précisé qu’il était notamment nécessaire de présenter une perte de gain de 20% environ pour pouvoir bénéficier d’une mesure de reclassement dans une nouvelle profession (ATF 124 V 108 consid. 2b p. 110 et les arrêts cités) elle n’a jamais fait</w:t>
      </w:r>
    </w:p>
    <w:p>
      <w:r>
        <w:t>A/1378/2008 - 18/19 - mention d’une telle condition s’agissant des autres mesures d’ordre professionnel prévues par la loi, » (Arrêt du Tribunal fédéral 9C_385/2009 du 13 octobre 2009). Il convient de constater que le recourant n’a plus travaillé depuis 1999. Or, dans un travail de bureau, relevé par les experts, comme étant une activité adaptée, ce métier a beaucoup évolué tant sur le plan informatique que de la bureautique, et les connaissances du recourant dans ce domaine ne peuvent plus être à niveau. Par conséquent, il se justifie de mettre le recourant au bénéfice d’une mesure d’ordre professionnel afin qu’il puisse réinitialiser ses connaissances pour être à même d’exercer son activité. Enfin, au sujet de la mesure d’aide au placement, comme l’a rappelé le Tribunal fédéral, dans un arrêt du 27 janvier 2009 (9C_393/2008) « une mesure d’aide au placement ne vise pas comme tel à améliorer la capacité de gain de l’assuré, au contraire des autres mesures de réadaptation, mais simplement à lui apporter une aide à ses démarches en vue de trouver un emploi adapté à son état de santé ; il s’agit d’une mesure concrète réalisée sur le marché effectif du travail. L’issue de la mesure d’aide au placement est par conséquent indépendante de la question du droit à la rente (I 503/01 du 7 mars 2003 consid. 3.2.) » Considérant l’âge du recourant et son éloignement de la vie active, il convient également de le mettre au bénéfice d’une mesure d’aide au placement qui n’est pas une mesure de réadaptation onéreuse.</w:t>
      </w:r>
    </w:p>
    <w:p>
      <w:r>
        <w:rPr>
          <w:b/>
        </w:rPr>
        <w:t>E. 8</w:t>
      </w:r>
    </w:p>
    <w:p>
      <w:r>
        <w:t>Au vu de ce qui précède, le recours sera partiellement admis dans le sens des considérants.</w:t>
      </w:r>
    </w:p>
    <w:p>
      <w:r>
        <w:rPr>
          <w:b/>
        </w:rPr>
        <w:t>E. 9</w:t>
      </w:r>
    </w:p>
    <w:p>
      <w:r>
        <w:t>Le recourant obtenant partiellement gain de cause, il lui sera accordé une indemnité de 500 fr. à titre de dépens (art 89H al. 3 LPA).</w:t>
      </w:r>
    </w:p>
    <w:p>
      <w:r>
        <w:rPr>
          <w:b/>
        </w:rPr>
        <w:t>E. 10</w:t>
      </w:r>
    </w:p>
    <w:p>
      <w:r>
        <w:t>L’émolument de justice, fixé à 200 fr., est mis à la charge des parties à part égale.</w:t>
      </w:r>
    </w:p>
    <w:p>
      <w:r>
        <w:t>A/1378/2008 - 19/19 -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