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ATAS/1231/2018 vom 27. Dezember 2018</w:t>
      </w:r>
    </w:p>
    <w:p>
      <w:r>
        <w:t>GE Cour de justice, 2018-12-27, FR</w:t>
      </w:r>
    </w:p>
    <w:p>
      <w:r>
        <w:rPr>
          <w:b/>
        </w:rPr>
        <w:t xml:space="preserve">Quelle: </w:t>
      </w:r>
      <w:r>
        <w:t>https://mcp.opencaselaw.ch/entscheid/ge_gerichte_ATAS_1231_2018</w:t>
      </w:r>
    </w:p>
    <w:p>
      <w:r>
        <w:t>FR: GE_GERICHTE ATAS/1231/2018 du 27 décembre 2018</w:t>
      </w:r>
    </w:p>
    <w:p>
      <w:r>
        <w:t>IT: GE_GERICHTE ATAS/1231/2018 del 27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A/670/2018 - 11/15 -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les forme et délai prévus par la loi, le recours est recevable (art. 56ss LPGA et 62ss LPA).</w:t>
      </w:r>
    </w:p>
    <w:p>
      <w:r>
        <w:rPr>
          <w:b/>
        </w:rPr>
        <w:t>E. 4</w:t>
      </w:r>
    </w:p>
    <w:p>
      <w:r>
        <w:t>Le litige porte sur le bien-fondé de la décision de l’intimé de supprimer la rente du recourant au 31 mars 2016.</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w:t>
      </w:r>
    </w:p>
    <w:p>
      <w:r>
        <w:t>A/670/2018 - 12/15 -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A/670/2018 - 13/15 -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 se fondant sur les conclusions de l’expertise du 14 septembre 2016 reconnaissant une incapacité totale de travail de juin 2011 à juin 2015, a considéré qu’à compter de décembre 2015, soit six mois plus tard, le recourant avait recouvré une pleine capacité de travail. Le recourant ne le conteste pas réellement. D’ailleurs, son psychiatre traitant a confirmé l’amélioration de son état et aucun élément objectif au dossier ne permet de douter des conclusions des experts, dont le rapport répond à tous les réquisits permettant de lui reconnaître pleine valeur probante, ce que le recourant ne conteste d’ailleurs pas, au demeurant.</w:t>
      </w:r>
    </w:p>
    <w:p>
      <w:r>
        <w:t>A/670/2018 - 14/15 - Il fait en revanche grief à l’intimé de n’avoir pas tenu compte de la période de réinsertion progressive de six mois évoquée par les experts. Cet argument tombe à faux puisque, précisément, l’intimé n’a pas fait remonter le recouvrement de la pleine capacité de travail à juin 2015, mais à décembre 2015, soit six mois après la date de l’amélioration constatée. S’y sont ensuite encore ajoutés les trois mois supplémentaires prévu par la loi. L’intimé a donc bel et bien tenu compte de la période de six mois évoquée par les experts, dont on relèvera qu’ils ont aussi précisé qu’au moment de l’expertise, la capacité de travail était de 100%. Dans ces circonstances, c’est à juste titre que l’intimé, suivant en cela l’avis des experts et de son SMR, a considéré que l’assuré était apte, depuis janvier 2016, soit six mois après l’amélioration de juin 2015, à exercer une activité adaptée à 100%.</w:t>
      </w:r>
    </w:p>
    <w:p>
      <w:r>
        <w:rPr>
          <w:b/>
        </w:rPr>
        <w:t>E. 10</w:t>
      </w:r>
    </w:p>
    <w:p>
      <w:r>
        <w:t>Reste à vérifier le calcul du degré d’invalidité auquel a procédé l’intimé. C’est à juste titre qu’il a retenu, à titre de revenu avant invalidité, celui que l’assuré aurait réalisé dans son activité habituelle en 2015, selon les données fournies par son dernier employeur, puisqu’il s’agissait là de rapports de service stables dans lesquels le recourant exploitait complètement sa capacité de travail. S’agissant du revenu d’invalide, il est également conforme au droit de le déterminer en fonction du salaire statistique tiré d’activités simples et répétitives pour un homme. En opérant un abattement de 15% sur ce salaire, l’intimé est resté dans les limites de son pouvoir d’appréciation et la Cour de céans ne s’en écartera pas. En particulier, contrairement à ce que le recourant allègue, la faible maîtrise du français et l’absence de formation sont des facteurs étrangers à l’assurance- invalidité qui n’ont pas à être pris en compte dans ce cadre (arrêt du Tribunal fédéral 8C_175/2017 du 30 octobre 2017 consid 5.3). Partant, la décision de l’intimé doit être confirmée. Le recourant, qui succombe, n’a pas droit à des dépens (art. 61 let. g LPGA). La procédure n’est pas gratuite en matière d'assurance-invalidité (art. 69 al. 1bis LAI), de sorte qu’il y a lieu de percevoir un émolument. Eu égard aux considérations qui précèdent, le recours est rejeté.</w:t>
      </w:r>
    </w:p>
    <w:p>
      <w:r>
        <w:t>A/670/2018 - 15/15 -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