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ATAS/1230/2020 vom 16. Dezember 2020</w:t>
      </w:r>
    </w:p>
    <w:p>
      <w:r>
        <w:t>GE Cour de justice, 2020-12-16, FR</w:t>
      </w:r>
    </w:p>
    <w:p>
      <w:r>
        <w:rPr>
          <w:b/>
        </w:rPr>
        <w:t xml:space="preserve">Quelle: </w:t>
      </w:r>
      <w:r>
        <w:t>https://mcp.opencaselaw.ch/entscheid/ge_gerichte_ATAS_1230_2020</w:t>
      </w:r>
    </w:p>
    <w:p>
      <w:r>
        <w:t>FR: GE_GERICHTE ATAS/1230/2020 du 16 décembre 2020</w:t>
      </w:r>
    </w:p>
    <w:p>
      <w:r>
        <w:t>IT: GE_GERICHTE ATAS/1230/2020 del 16 dicembre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A/3539/2020 3/5</w:t>
      </w:r>
    </w:p>
    <w:p>
      <w:r>
        <w:rPr>
          <w:b/>
        </w:rPr>
        <w:t>E. 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en cause ayant été rendu avant l'entrée en vigueur, le 1er janvier 2017, des nouvelles dispositions relatives au partage de la prévoyance professionnelle en cas de divorce, la chambre de céans appliquera les dispositions légales dans leur ancienne teneur (art. 7d Tit. fin. CC).</w:t>
      </w:r>
    </w:p>
    <w:p>
      <w:r>
        <w:rPr>
          <w:b/>
        </w:rPr>
        <w:t>E. 3</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Selon l’art. 64 al. 1 et al. 1bis de la loi fédérale sur le droit international privé du 18 décembre 1987 (LDIP –RS 291), entré en vigueur le 1er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Le message du Conseil fédéral concernant la révision du Code civil suisse (partage de la prévoyance professionnelle en cas de divorce) du 29 mai 2013 précise, concernant ces dispositions, que le tribunal suisse compétent pour connaître d’une</w:t>
      </w:r>
    </w:p>
    <w:p>
      <w:r>
        <w:t>A/3539/2020 4/5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w:t>
      </w:r>
    </w:p>
    <w:p>
      <w:r>
        <w:rPr>
          <w:b/>
        </w:rPr>
        <w:t>E. 4</w:t>
      </w:r>
    </w:p>
    <w:p>
      <w:r>
        <w:t>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de la loi sur l’organisation judiciaire du 26 septembre 2010 (LOJ - E 2 05) ne concerne en effet que l’exécution du partage sur la base de la clé de répartition des prestations de prévoyance professionnelle décidée par le juge du divorce (ATF 132 III 401 consid. 2.2 p. 404; 132 V 337 consid. 2.2 p. 341 ; 9C_388/2009). Aussi la chambre de céans ne peut-elle que refuser d’entrer en matière, faute de compétence. La cause sera transmise d’office au Tribunal de première instance (arrêt du Tribunal fédéral 9C_737/2010 ; ATAS/85/2018).</w:t>
      </w:r>
    </w:p>
    <w:p>
      <w:r>
        <w:rPr>
          <w:b/>
        </w:rPr>
        <w:t>E. 5</w:t>
      </w:r>
    </w:p>
    <w:p>
      <w:r>
        <w:t>Aucun émolument ne sera perçu, la procédure étant gratuite (art. 73 al. 2 LPP et 89H al. 1 de la loi sur la procédure administrative du 12 septembre 1985 (LPA-GE - E 5 10).</w:t>
      </w:r>
    </w:p>
    <w:p>
      <w:r>
        <w:t>A/3539/2020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