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ATAS/122/2026 vom 12. Februar 2026</w:t>
      </w:r>
    </w:p>
    <w:p>
      <w:r>
        <w:t>GE Cour de justice, 2026-02-12, FR</w:t>
      </w:r>
    </w:p>
    <w:p>
      <w:r>
        <w:rPr>
          <w:b/>
        </w:rPr>
        <w:t xml:space="preserve">Quelle: </w:t>
      </w:r>
      <w:r>
        <w:t>https://mcp.opencaselaw.ch/entscheid/ge_gerichte_ATAS_122_2026</w:t>
      </w:r>
    </w:p>
    <w:p>
      <w:r>
        <w:t>FR: GE_GERICHTE ATAS/122/2026 du 12 février 2026</w:t>
      </w:r>
    </w:p>
    <w:p>
      <w:r>
        <w:t>IT: GE_GERICHTE ATAS/122/2026 del 12 febbraio 2026</w:t>
      </w:r>
    </w:p>
    <w:p>
      <w:pPr>
        <w:pStyle w:val="Heading2"/>
      </w:pPr>
      <w:r>
        <w:t>Volltext</w:t>
      </w:r>
    </w:p>
    <w:p>
      <w:r>
        <w:t>Siégeant : Karine STECK, présidente; Philippe LE GRAND ROY et Christine LUZZATTO, juges assesseurs</w:t>
      </w:r>
    </w:p>
    <w:p>
      <w:r>
        <w:t>RÉPUBLIQUE ET</w:t>
      </w:r>
    </w:p>
    <w:p>
      <w:r>
        <w:t>CANTON DE GEN ÈVE POUVOIR JUDICIAIRE</w:t>
      </w:r>
    </w:p>
    <w:p>
      <w:r>
        <w:t>A/51/2026 ATAS/122/2026 COUR DE JUSTICE Chambre des assurances sociales Arrêt du 12 février 2026 Chambre 3</w:t>
      </w:r>
    </w:p>
    <w:p>
      <w:r>
        <w:t>En la cause A______</w:t>
      </w:r>
    </w:p>
    <w:p>
      <w:r>
        <w:t>recourant</w:t>
      </w:r>
    </w:p>
    <w:p>
      <w:r>
        <w:t>contre OFFICE DE L'ASSURANCE-INVALIDITÉ DU CANTON DE GENÈVE intimé</w:t>
      </w:r>
    </w:p>
    <w:p>
      <w:r>
        <w:t>A/51/2026 - 2/3 - ATTENDU EN FAIT</w:t>
      </w:r>
    </w:p>
    <w:p>
      <w:r>
        <w:t>Que par décision du 2 décembre 2025, l’office de l’assurance-invalidité du canton de Genève (OAI) a reconnu à A______ (ci-après : l’assuré), le droit à une rente entière d’invalidité limitée à la période du 1er janvier au 31 mai 2024 ; Que par courrier du 6 janvier 2026, l’assuré a demandé à la Cour de céans « un délai pour pouvoir mettre à jour [son] dossier » et « soumettre de nouveau élément » (sic) ; Que le 12 janvier 2026, la Cour de céans, constatant que l’écriture du 6 janvier 2026 ne remplissait pas les conditions de recevabilité, a accordé à l’assuré un délai au 26 janvier 2026 pour exposer brièvement les raisons pour lesquelles il entendait la saisir et formuler ses prétentions exactes, en attirant son attention sur le fait qu’à défaut, son recours serait déclaré irrecevable ; Que l’assuré ne s’est pas manifesté dans le délai qui lui avait été imparti ;</w:t>
      </w:r>
    </w:p>
    <w:p>
      <w:r>
        <w:t>CONSIDERANT EN DROIT</w:t>
      </w:r>
    </w:p>
    <w:p>
      <w:r>
        <w:t>Que 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 Que selon l'art. 61 let. b LPGA, l'acte de recours doit contenir un exposé succinct des faits et motifs invoqués, ainsi que des conclusions, étant précisé que, s'il n'est pas conforme à ces règles, le tribunal impartit au recourant un délai convenable pour combler les lacunes en l'avertissant qu'en cas d'inobservation, son recours sera écarté ; Que l'art. 89 b de la loi cantonale du 12 septembre 1985 sur la procédure administrative (LPA ; E 5 10) pose les mêmes exigences ; Que celles-ci ont pour but de fixer le juge sur la nature et l'objet du litige ; Que selon une jurisprudence rendue à propos de l'art. 52 PA, même si le législateur n'a pas voulu poser des exigences élevées en matière de recevabilité des recours, le justiciable doit néanmoins apporter un minimum de soin dans la rédaction de ses écritures (RDAF 1999 II 174) ; Qu'en l'espèce, malgré le délai convenable qui lui a été accordé pour régulariser son écriture, l'assuré n’a pas fait valoir la moindre prétention ou motivation ;</w:t>
      </w:r>
    </w:p>
    <w:p>
      <w:r>
        <w:t>A/51/2026 - 3/3 - Qu’il n’allègue pas même une incapacité de travail ; Que force est de constater qu'en l'occurrence, le recourant n'indique absolument pas en quoi la décision rendue à son encontre par l'OAI serait contestable ; Qu'il convient dès lors de déclarer le recours irrecevable pour insuffisance de motifs et absence de conclusions. ***</w:t>
      </w:r>
    </w:p>
    <w:p>
      <w:r>
        <w:t>PAR CES MOTIFS, LA CHAMBRE DES ASSURANCES SOCIALES : Statuant 1. Déclare le recours irrecevable. 2. Renonce à percevoir un 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