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ATAS/122/2015 vom 17. Februar 2015</w:t>
      </w:r>
    </w:p>
    <w:p>
      <w:r>
        <w:t>GE Cour de justice, 2015-02-17, FR</w:t>
      </w:r>
    </w:p>
    <w:p>
      <w:r>
        <w:rPr>
          <w:b/>
        </w:rPr>
        <w:t xml:space="preserve">Quelle: </w:t>
      </w:r>
      <w:r>
        <w:t>https://mcp.opencaselaw.ch/entscheid/ge_gerichte_ATAS_122_2015</w:t>
      </w:r>
    </w:p>
    <w:p>
      <w:r>
        <w:t>FR: GE_GERICHTE ATAS/122/2015 du 17 février 2015</w:t>
      </w:r>
    </w:p>
    <w:p>
      <w:r>
        <w:t>IT: GE_GERICHTE ATAS/122/2015 del 17 febbraio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w:t>
      </w:r>
    </w:p>
    <w:p>
      <w:r>
        <w:t>A/2967/2014 4/5 civile du 19 décembre 2008 – CPC - RS 272), exécuter d'office le partage sur la base de la clé de répartition déterminée par le juge du divorce.</w:t>
      </w:r>
    </w:p>
    <w:p>
      <w:r>
        <w:rPr>
          <w:b/>
        </w:rPr>
        <w:t>E. 1.5</w:t>
      </w:r>
    </w:p>
    <w:p>
      <w:r>
        <w:t>% de 2012 à 2013 et 1.75 % dès le 1er janvier 2014.</w:t>
      </w:r>
    </w:p>
    <w:p>
      <w:r>
        <w:rPr>
          <w:b/>
        </w:rPr>
        <w:t>E. 2</w:t>
      </w:r>
    </w:p>
    <w:p>
      <w:r>
        <w:t>Selon l'art. 22 al. 1 LFLP (nouvelle teneur en vigueur depuis le 1er janvier 2011), en cas de divorce, les prestations de sortie acquises durant le mariage sont partagées conformément aux art. 122 et 123 et art. 280 et 281 CPC ;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 jusqu'au 31 décembre 2002, 3.25 % en 2003, 2.25 % en 2004, 2.5 % de 2005 à 2007, 2.75 % en 2008, 2 % de 2009 à 2011,</w:t>
      </w:r>
    </w:p>
    <w:p>
      <w:r>
        <w:rPr>
          <w:b/>
        </w:rPr>
        <w:t>E. 4</w:t>
      </w:r>
    </w:p>
    <w:p>
      <w:r>
        <w:t>En l’espèce, le juge de première instance a ordonné le partage par moitié des prestations de sortie acquises durant le mariage par les demandeurs. Les dates pertinentes sont, d’une part, celle du mariage, le 18 avril 1993, d’autre part le 16 septembre 2014, date à laquelle le jugement de divorce est devenu exécutoire.</w:t>
      </w:r>
    </w:p>
    <w:p>
      <w:r>
        <w:rPr>
          <w:b/>
        </w:rPr>
        <w:t>E. 5</w:t>
      </w:r>
    </w:p>
    <w:p>
      <w:r>
        <w:t>Selon les documents produits, la prestation acquise pendant le mariage par le demandeur est de CHF 11'465.35 (CHF 2'822.20 + CHF 8'643.15), tandis que celle acquise par la demanderesse est de CHF 3'794.94, les intérêts ayant déjà été calculés par les institutions de prévoyance défenderesses. Ainsi le demandeur doit à son ex-épouse le montant de CHF 5'732.70 (CHF 11'465.35 : 2) et celle-ci doit à celui-là le montant de CHF 1'897.45 (CHF 3'794.94 : 2), de sorte que c’est le demandeur qui doit à la demanderesse le montant de CHF 3’835.25.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A/2967/2014 5/5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