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ATAS/1229/2018 vom 27. Dezember 2018</w:t>
      </w:r>
    </w:p>
    <w:p>
      <w:r>
        <w:t>GE Cour de justice, 2018-12-27, FR</w:t>
      </w:r>
    </w:p>
    <w:p>
      <w:r>
        <w:rPr>
          <w:b/>
        </w:rPr>
        <w:t xml:space="preserve">Quelle: </w:t>
      </w:r>
      <w:r>
        <w:t>https://mcp.opencaselaw.ch/entscheid/ge_gerichte_ATAS_1229_2018</w:t>
      </w:r>
    </w:p>
    <w:p>
      <w:r>
        <w:t>FR: GE_GERICHTE ATAS/1229/2018 du 27 décembre 2018</w:t>
      </w:r>
    </w:p>
    <w:p>
      <w:r>
        <w:t>IT: GE_GERICHTE ATAS/1229/2018 del 27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w:t>
      </w:r>
    </w:p>
    <w:p>
      <w:r>
        <w:t>A/3779/2017 - 8/14 - En l'espèce, les faits déterminants à l’appui de la décision litigieuse du 26 juin 2014 sont postérieurs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recours répond aux exigences de forme (art. 61 let. b LPGA et 89B LPA), de sorte qu’il est recevable.</w:t>
      </w:r>
    </w:p>
    <w:p>
      <w:r>
        <w:rPr>
          <w:b/>
        </w:rPr>
        <w:t>E. 5</w:t>
      </w:r>
    </w:p>
    <w:p>
      <w:r>
        <w:t>Le litige porte sur le bien-fondé du refus de prester de l’OAI.</w:t>
      </w:r>
    </w:p>
    <w:p>
      <w:r>
        <w:rPr>
          <w:b/>
        </w:rPr>
        <w:t>E. 6</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117 V 198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w:t>
      </w:r>
    </w:p>
    <w:p>
      <w:r>
        <w:t>A/3779/2017 - 9/14 - à-dire en en comparant les faits tels qu'ils se présentaient au moment de la décision initiale de rente et les circonstances régnant à l'époque de la décision litigieuse (ATF 130 V 343 consid. 3.5.2 ; ATF 125 V 368 consid. 2 et la référence ; ATF 112 V 371 consid. 2b et 387 consid. 1b) afin d'établir si un changement est intervenu. Selon la jurisprudence, aussi bien dans le cadre d'une nouvelle demande au sens de l'art. 87 al. 3 RAI (ATF 130 V 71 consid. 3.2.3)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 109 V 108 consid. 2a et b).</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 ATF 105 V 205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t>A/3779/2017 - 10/14 -</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294 consid. 5a). Ainsi, pour pouvoir calculer le degré d'invalidité, l'administration (ou le juge, s'il y a eu un recours) a besoin de documents que le médecin, éventuellement aussi d'autres spécialistes, doivent lui fournir (ATF 125 V 256 consid. 4).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ATF 105 V 156 consid. 1 in fine). Dans le cadre d'une révision de la rente selon l'art. 17 LPGA, le rôle du médecin consiste avant tout à établir l'existence ou non d’une modification de l'état de santé de l'assuré en comparant les faits tels qu'ils se présentaient au moment de la décision initiale avec la situation au moment de son examen (ATF 125 V 368 consid. 2).</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dûment motivées (ATF 125 V 352 consid. 3 ; Arrêt du Tribunal fédéral des assurances I 751/03 du 19 mars 2004 consid. 3.4).</w:t>
      </w:r>
    </w:p>
    <w:p>
      <w:r>
        <w:t>A/3779/2017 - 11/14 -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A/3779/2017 - 12/14 -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Confédérations suisse du 18 avril 1999 (RS 101 – Cst; SVR 2001 IV n. 10 p. 28 consid. 4b), la jurisprudence rendue sous l'empire de l'art. 4 aCst étant toujours valable (AF 124 V 90 consid. 4b ; ATF 122 V 157 consid. 1d).</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Le juge des assurances sociales ne peut ignorer des griefs pertinents invoqués par les parties pour la simple raison qu’ils n’auraient pas été prouvés (VSI 5/1994 220 consid. 4a).</w:t>
      </w:r>
    </w:p>
    <w:p>
      <w:r>
        <w:rPr>
          <w:b/>
        </w:rPr>
        <w:t>E. 12</w:t>
      </w:r>
    </w:p>
    <w:p>
      <w:r>
        <w:t>En l'espèce, il convient d'examiner si la situation du recourant a subi un changement important propre à influencer son degré d'invalidité depuis la décision initiale de novembre 2006. Cette première décision de refus se fondait sur le rapport de la Dresse C______, du SMR, concluant à une cirrhose hépatique, à un diabète de type II insulino- requérant, à une HTA traitée et à une hypercholestérolémie anamnestique, atteintes dont elle avait estimé qu’elles n’entrainaient aucune diminution de la capacité de travail dans une activité adaptée, c'est-à-dire n'impliquant ni déplacements sur sol irrégulier, ni travail en hauteur ou dangereux. Depuis lors, il n’est pas contesté que l’état de l’assuré a évolué, avec l’apparition d’une nouvelle atteinte au niveau lombaire, dont il convient de déterminer si elle a des répercussions sur la capacité de travail et le degré d’invalidité. Un expert a été mandaté par l’intimé, qui a rendu un premier rapport, le 24 février 2014, complété à la demande de la Cour de céans le 6 mars 2017. La Cour de céans observe que l'expertise contient une anamnèse détaillée et tient compte des plaintes du recourant. Elle se fonde sur un examen clinique de l’intéressé, ainsi que sur des documents d'imagerie médicale. L'appréciation du Dr D______ permet de comprendre la nature et les causes des limitations fonctionnelles du recourant. L’expert a complété son premier rapport après avoir pris connaissance du dossier de l’assuré dans son intégralité. Il s’est exprimé sur l’évolution de l’état de santé du recourant depuis le 22 novembre 2006, s’est déterminé sur le diagnostic de hernie discale L4-L5 gauche évoqué par le médecin- traitant et a exclu, de manière argumentée, toute diminution de rendement justifiable d’un point de vue médical sur la capacité de travail dans une activité</w:t>
      </w:r>
    </w:p>
    <w:p>
      <w:r>
        <w:t>A/3779/2017 - 13/14 - adaptée aux limitations fonctionnelles. Dès lors, l’expertise peut se voir reconnaître pleine valeur probante, d’autant qu’ainsi que l’a déjà relevé la Cour de céans dans son arrêt précédent, les rapports et certificats émanant du Dr B______ se révèlent lacunaires et insuffisamment motivés. Quant au courrier du Dr F______ dont le recourant entend tirer argument, force est de constater qu’il confirme les diagnostics de l’expert et ne se prononce aucunement sur la capacité de travail de l’assuré. Dans ces circonstances, c’est à juste titre que l’intimé, se fondant sur l’expertise, a retenu une pleine capacité à exercer une activité adaptée depuis 2008. Quant au calcul du degré d’invalidité - au demeurant non contesté en tant que tel - il n’apparaît pas critiquable. Au vu de ce qui précède, le recours est rejeté. La procédure de recours en matière de contestations portant sur l’octroi ou le refus de prestations de l’assurance-invalidité étant soumise à des frais de justice (art. 69 al. 1bis LAI), un émolument de CHF 200.- sera mis à la charge du recourant.</w:t>
      </w:r>
    </w:p>
    <w:p>
      <w:r>
        <w:t>A/3779/2017 - 14/14 -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