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ATAS/1229/2009 vom 28. September 2009</w:t>
      </w:r>
    </w:p>
    <w:p>
      <w:r>
        <w:t>GE Cour de justice, 2009-09-28, FR</w:t>
      </w:r>
    </w:p>
    <w:p>
      <w:r>
        <w:rPr>
          <w:b/>
        </w:rPr>
        <w:t xml:space="preserve">Quelle: </w:t>
      </w:r>
      <w:r>
        <w:t>https://mcp.opencaselaw.ch/entscheid/ge_gerichte_ATAS_1229_2009</w:t>
      </w:r>
    </w:p>
    <w:p>
      <w:r>
        <w:t>FR: GE_GERICHTE ATAS/1229/2009 du 28 septembre 2009</w:t>
      </w:r>
    </w:p>
    <w:p>
      <w:r>
        <w:t>IT: GE_GERICHTE ATAS/1229/2009 del 28 settembre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Interjeté dans les délai et formes prescrits par la loi, le recours est recevable (art. 56 ss et LPGA).</w:t>
      </w:r>
    </w:p>
    <w:p>
      <w:r>
        <w:rPr>
          <w:b/>
        </w:rPr>
        <w:t>E. 4</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S'agissant des modifications de la LAI du 6 octobre 2006 (5ème révision de la LAI), entrées en vigueur le 1er janvier 2008, du point de vue temporel, sont en principe applicables les règles de droit en vigueur au moment où les faits juridiquement déterminants se sont produits et le juge des assurances sociales se</w:t>
      </w:r>
    </w:p>
    <w:p>
      <w:r>
        <w:t>A/762/2008 - 9/15 -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26 février 2008 à la lumière des anciennes dispositions de la LAI pour la période s'étendant jusqu'au 31 décembre 2002 et, le cas échéant, au regard des nouvelles dispositions de la LAI pour la période postérieure.</w:t>
      </w:r>
    </w:p>
    <w:p>
      <w:r>
        <w:rPr>
          <w:b/>
        </w:rPr>
        <w:t>E. 5</w:t>
      </w:r>
    </w:p>
    <w:p>
      <w:r>
        <w:t>a) Il convient en l’occurrence de déterminer le droit de la recourante aux prestations, singulièrement à une rente d'invalidité. b)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 loi sur l'assurance-vieillesse et survivants du 20 décembre 1946 (LAVS), le 1er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 (cf. art. 36 al. 1 LAI) ou dix années de résidence ininterrompue en Suisse (ATF 126 V 5 consid. 1a). Demeurent toutefois réservées les dispositions dérogatoires des conventions bilatérales de sécurité sociale conclues par la Suisse avec un certain nombre d'États pour leurs ressortissants respectifs. A cet égard, la Convention de sécurité sociale entre la Suisse et la république de Turquie conclue le 1er mai 1969 stipule à son art.</w:t>
      </w:r>
    </w:p>
    <w:p>
      <w:r>
        <w:rPr>
          <w:b/>
        </w:rPr>
        <w:t>E. 10</w:t>
      </w:r>
    </w:p>
    <w:p>
      <w:r>
        <w:t>al. 1 que les ressortissants turcs ont droit aux rentes ordinaires et aux allocations pour impotent de l'assurance-invalidité suisse, sous réserve des paragraphes 2 et 3, aux mêmes conditions que les ressortissants suisses. L'alinéa 3 prévoit que pour déterminer les périodes de cotisations qui doivent servir de base au calcul de la rente ordinaire de l'assurance-invalidité suisse dues à un ressortissant turc ou suisse, les périodes de cotisations accomplies selon les dispositions légales turques sont prises en compte comme des périodes de cotisations suisses en tant qu'elles ne se superposent pas à ces dernières. Pour ladite prise en compte, 30 jours de cotisations accomplies selon la législation turque visée à l'art. premier, paragraphe premier alinéa A, lettre a) sont considérés comme équivalant à un mois de cotisations accompli selon la législation suisse. Seules les périodes de cotisation suisse sont prises en considération pour déterminer le salaire annuel moyen.</w:t>
      </w:r>
    </w:p>
    <w:p>
      <w:r>
        <w:t>A/762/2008 - 10/15 - Selon l'art. 36 al. 2 LAI, les dispositions de la loi fédérale sur l'assurance-vieillesse et survivants du 20 décembre 1946 (LAVS ) sont (sous réserve de l'art. 36 al. 3 LAI) applicables par analogie au calcul des rentes ordinaires (voir à ce propos ATF 124 V 159); le Conseil fédéral peut édicter des prescriptions complémentaires. Selon l'art. 32 al. 1 du règlement sur l'assurance-invalidité du 17 janvier 1961 (RAI) en corrélation avec les art. 50 du règlement sur l'assurance-vieillesse et survivants du 31 octobre 1947 (RAVS) et 29ter al. 2 LAVS, une année de cotisations est entière lorsqu'une personne a été assurée au sens des art. 1er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c)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w:t>
      </w:r>
    </w:p>
    <w:p>
      <w:r>
        <w:t>A/762/2008 - 11/15 -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d)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Selon l’art. 4 al. 2 LAI, dans sa teneur en vigueur jusqu’au 31 décembre 2007,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dans sa version en vigueur avant la 5e révision de la loi,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A/762/2008 - 12/15 -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a fortiori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w:t>
      </w:r>
    </w:p>
    <w:p>
      <w:r>
        <w:t>A/762/2008 - 13/15 -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6. En l'occurrence se trouvent notamment au dossier des rapports des médecins traitants, soit des Drs L___________ et R___________ un examen bidisciplinaire du SMR de septembre 2007 et une expertise judiciaire psychiatrique, ordonnée en raison des avis des psychiatre et psychologue traitants qui avaient jeté des doutes sur les conclusions de l'examen bidisciplinaire du SMR. Il y a lieu dès lors de déterminer la valeur probante de cette expertise. L'expertise comporte des anamnèses détaillées, tient compte des plaintes de l'expertisée, pose un status psychiatrique et des diagnostics précis et motivés, procède à une appréciation et pose un pronostic. L'expert répond clairement et de manière circonstanciée aux questions que le Tribunal de céans lui a posées. Celui-ci a en outre pris contact avec la psychologue traitante. Enfin ses conclusions sont dénuées de contradictions et sont claires et motivées. Partant, cette expertise remplit tous les réquisits pour lui voir accorder pleine valeur probante. Au demeurant les remarques du SMR, selon lesquelles l'assurée répéterait une leçon de psychiatrie apprise par cœur sont dénuées de tout fondement. Enfin, il convient de relever que l'interprète lors de l'examen du SMR ne parlait pas la même langue que la recourante, ce qui explique peut-être pourquoi elle ne s'est pas ouverte de son passé de tortures. A cet égard, il y a lieu de souligner qu'elle est suivie par APPARTENANCES en raison d'un état de stress post-traumatique depuis son arrivée en Suisse. Au vu de ce qui précède, il convient de constater que l'expertise du Dr T___________ a pleine valeur probante et que ses conclusions devront être suivies. Selon l'expert, qui diagnostique une modification durable de la personnalité après une expérience de catastrophe ainsi qu'un épisode dépressif moyen, la recourante présente une incapacité de travail totale pour des raison psychiatriques. A cet égard, l'expert fait remonter de façon certaine le début de l'incapacité de travail de l'assurée à une période précédent l'entrée en Suisse, soit lorsqu'elle était domiciliée en Allemagne. La recourante expose elle-même que c'est quelques mois après son arrivée en Allemagne qu'elle a été submergée par la souffrance psychique et que déjà en Allemagne elle avait des troubles du sommeil et des troubles mnésiques et attentionnels. L'assurée a d'ailleurs été traitée pour son état de stress post-</w:t>
      </w:r>
    </w:p>
    <w:p>
      <w:r>
        <w:t>A/762/2008 - 14/15 - traumatique un mois après son arrivée en Suisse. Il faut ainsi tenir pour établi que le début de l'invalidité remonte au séjour en Allemagne, soit avant l'entrée de la recourante en Suisse. 7. Il convient dès lors de déterminer si l'assurée remplit à la date de la survenance de l'invalidité, les conditions d'assurance. Pour ce faire, elle doit compter, lors de la survenance d'invalidité, au moins une année entière de cotisations ou 10 années de résidence ininterrompue en Suisse. À l'évidence, la recourante ne remplit pas la condition des 10 années de résidence en Suisse, ni celle de l'année de cotisation en Suisse avant la survenance de l'invalidité puisque celle-ci est survenue avant l'entrée en Suisse. Cependant, il est possible de tenir compte des cotisations turques, eu égard à la convention la Convention de sécurité sociale entre la Suisse et la république de Turquie. Cette condition n'est toutefois pas non plus remplie, la recourante n'ayant jamais travaillé en Turquie où elle était femme au foyer. Elle n'a pas non plus cotisé à titre de personne sans activité lucrative à la sécurité sociale turque. Enfin, il y a lieu de préciser que pendant son séjour en Allemagne en tant que requérante, la recourante n'a exercé aucune activité lucrative ni cotisé à quelque titre que ce soit. Partant, elle ne remplit pas la condition d'assurance et son recours est dès lors mal fondé. 8. Au vu de ce qui précède, le recours sera rejeté.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fixé à 200 fr.</w:t>
      </w:r>
    </w:p>
    <w:p>
      <w:r>
        <w:t>A/762/2008 - 15/15 -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