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ATAS/1228/2018 vom 27. Dezember 2018</w:t>
      </w:r>
    </w:p>
    <w:p>
      <w:r>
        <w:t>GE Cour de justice, 2018-12-27, FR</w:t>
      </w:r>
    </w:p>
    <w:p>
      <w:r>
        <w:rPr>
          <w:b/>
        </w:rPr>
        <w:t xml:space="preserve">Quelle: </w:t>
      </w:r>
      <w:r>
        <w:t>https://mcp.opencaselaw.ch/entscheid/ge_gerichte_ATAS_1228_2018</w:t>
      </w:r>
    </w:p>
    <w:p>
      <w:r>
        <w:t>FR: GE_GERICHTE ATAS/1228/2018 du 27 décembre 2018</w:t>
      </w:r>
    </w:p>
    <w:p>
      <w:r>
        <w:t>IT: GE_GERICHTE ATAS/1228/2018 del 27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(art. 56ss LPGA), le recours est recevable. En dépit de leur libellé, il convient d’interpréter les conclusions du recourant relatives à la reconnaissance de son droit aux prestations comme tendant à la</w:t>
      </w:r>
    </w:p>
    <w:p>
      <w:r>
        <w:t>A/2928/2017 - 7/12 - condamnation de l’intimé au versement des dites prestations. Elles sont ainsi recevables, contrairement à des conclusions constatatoires dont le caractère est subsidiaire par rapport à une action formatrice (ATF 129 V 289 consid. 2.1, arrêt du Tribunal fédéral des assurances B 149/06 du 11 juin 2007 consid. 5.2).</w:t>
      </w:r>
    </w:p>
    <w:p>
      <w:r>
        <w:rPr>
          <w:b/>
        </w:rPr>
        <w:t>E. 3</w:t>
      </w:r>
    </w:p>
    <w:p>
      <w:r>
        <w:t>Le litige porte sur le droit éventuel du recourant à une rente et à des mesures d’ordre professionnel.</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A/2928/2017 - 8/12 - Pour déterminer si une mesure est de nature à maintenir ou à améliorer la capacité de gain d'un assuré, il convient d'effectuer un pronostic sur les chances de succès des mesures demandées (ATF 132 V 215 consid. 3.2.2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La notion de marché du travail équilibré présuppose un équilibre entre l'offre et la demande de main d'œuvre d'une part et un marché du travail structuré permettant d'offrir un éventail d'emplois diversifiés, tant au regard des sollicitations intellectuelles que physiques d'autre part (arrêt du Tribunal fédéral 9C_633/2016 du 28 décembre 2016 consid. 4.2). Elle sert de critère de distinction entre les cas relevant de l'assurance-chômage ou de l'assurance-invalidité (arrêt du Tribunal fédéral 9C_286/2015 du 12 janvier 2016 consid. 4.2).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w:t>
      </w:r>
    </w:p>
    <w:p>
      <w:r>
        <w:t>A/2928/2017 - 9/12 - âge, années de service, nationalité/catégorie d'autorisation de séjour et taux d'occupation ;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8</w:t>
      </w:r>
    </w:p>
    <w:p>
      <w:r>
        <w:t>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9</w:t>
      </w:r>
    </w:p>
    <w:p>
      <w:r>
        <w:t>En l’espèce, le SMR s’est fondé sur les indications du Dr B______ pour conclure à une complète capacité de travail dans une activité adaptée. Le recourant semble reprocher à l’intimé de ne pas avoir investigué plus avant sa situation médicale. Un tel grief tombe cependant à faux. En effet, dès lors que le Dr C______ se ralliait aux conclusions du Dr B______ et que la capacité de travail dans une activité adaptée ne faisait ainsi l’objet d’aucune divergence entre les médecins, point n’était besoin de procéder à des mesures d’instruction</w:t>
      </w:r>
    </w:p>
    <w:p>
      <w:r>
        <w:t>A/2928/2017 - 10/12 - supplémentaires. Il convient du reste de relever que le recourant n’allègue pas que des atteintes n’auraient pas été prises en compte par le SMR. Il ne fait pas non plus valoir que d’autres médecins auraient eu une appréciation différente de sa capacité de gain. Quant au grief fait au Dr C______ de n’avoir pas tenu compte des limitations fonctionnelles, il est également infondé. Le 5 septembre 2016, le médecin du SMR a en effet énuméré les limitations fonctionnelles du recourant et admis que ce dernier ne pouvait ni marcher longtemps, ni s’accroupir, ni travailler en hauteur ou en terrain instable, pas plus qu’il ne devait porter de charges. Ces limitations correspondent largement, voire excèdent celles émises par le Dr B______, qui excluait le travail impliquant des charges sur le genou dans ses rapports de juin et août 2016. Le recourant ne prétend d’ailleurs pas que d’autres limitations résultant de son état de santé auraient été ignorées, pas plus qu’il ne produit de rapport médical qui en attesterait. Eu égard à ce qui précède, la Cour fait donc siennes les conclusions du SMR quant à l’existence d’une pleine capacité de travail dans une activité respectant les limitations fonctionnelles. Partant, par appréciation anticipée des preuves (ATF 138 III 374 consid. 4.3.2), elle ne donnera pas suite à la demande d’expertise du recourant. S’agissant des rapports qui ont fait suite aux stages aux EPI et en entreprise, il convient de rappeler ce qui suit. Dans les cas où les appréciations résultant de l’observation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Tribunal fédéral 9C_1035/2009 du 22 juin 2010 consid. 4.1). En l’espèce, les éléments ressortant de ces rapports ne justifient pas que l’on s’écarte des avis médicaux. S’agissant du stage aux EPI, on relève en premier lieu que les douleurs des mains mentionnées n’ont pas été objectivées par le médecin traitant du recourant, ce dernier les ayant du reste largement relativisées lors de son audition par la Cour de céans. Quant au manque de polyvalence lié aux difficultés pour le recourant à rester debout, signalé tant par les EPI que par l’entreprise où s’est déroulé le stage, on notera que cette position n’est pas totalement impossible selon les médecins. Le Dr B______ suggère une activité exercée « surtout » - mais pas exclusivement - en position assise. Le recourant a en outre exposé que ses progrès et sa perte de poids importante lui ont permis de renoncer aux cannes anglaises depuis lors. Quoi qu’il en soit, les affirmations selon lesquelles l’alternance des positions serait indispensable à une réinsertion professionnelle ne sauraient l’emporter sur les constatations médicales. En effet, selon la jurisprudence, l’exercice d’une activité non qualifiée exclusivement monomanuelle n’est pas considéré comme irréaliste</w:t>
      </w:r>
    </w:p>
    <w:p>
      <w:r>
        <w:t>A/2928/2017 - 11/12 - sur un marché équilibré du travail (cf. arrêts du Tribunal fédéral 9C_633/2016 du 28 décembre 2016 consid. 4.3 et 8C_670/2015 du 12 février 2016 consid. 4.3). A fortiori, un marché équilibré du travail est sans conteste en mesure d’offrir des postes que l’on peut occuper assis. L’ORIF n’a du reste pas rapporté d’obstacle particulier en lien avec cette limitation fonctionnelle. Enfin, l’audition de M. D______ a révélé que les difficultés liées à l’alternance des positions ne sont nullement rédhibitoires, puisque son entreprise aurait souhaité conserver le recourant à son service et n’y renoncé qu’en raison d’un volume de travail insuffisant pour lui proposer un poste fixe. Cela tend également à démontrer que les difficultés de réinsertion sont liées au marché du travail, soit un facteur qui relève de l’assurance-chômage et non de l’assurance-invalidité. Partant, les problèmes allégués d’alternance des positions ne suffisent pas à considérer que le recourant - dont les qualités et la motivation ont par ailleurs été unanimement reconnues par les différents intervenants - ne peut pas mettre en valeur sa capacité résiduelle de travail à temps plein dans une activité adaptée.</w:t>
      </w:r>
    </w:p>
    <w:p>
      <w:r>
        <w:rPr>
          <w:b/>
        </w:rPr>
        <w:t>E. 10</w:t>
      </w:r>
    </w:p>
    <w:p>
      <w:r>
        <w:t>Reste à vérifier le calcul du degré d’invalidité auquel a procédé l’intimé. C’est à juste titre qu’il a retenu, à titre de revenu avant invalidité, celui que l’assuré aurait réalisé en tant que chauffeur-livreur, puisqu’il s’agissait là de rapports de service stables dans lesquels le recourant exploitait complètement sa capacité de travail. En revanche, il convient de se référer au revenu obtenue en 2014, dernière année avant la survenance de l’atteinte, soit CHF 64'413.-, que l’on indexera à 2016, année de naissance du droit à la rente, ce qui le porte à CHF 64'494.-. S’agissant du revenu d’invalide, il est également conforme au droit de le déterminer en fonction du salaire statistique tiré d’activités simples et répétitives pour un homme (ESS 2014, TA1_tirage_skill_level, Ligne Total = CHF 5'312.- CHF/mois = 63'744.- CHF/an = CHF 67'052.- après indexation et adaptation à la durée normale de travail de 41.7 h./sem.). En opérant un abattement de 10% sur ce salaire, l’intimé est resté dans les limites de son pouvoir d’appréciation et la Cour de céans ne s’en écartera pas. En particulier, contrairement à ce que le recourant allègue, la faible maîtrise du français et l’absence de formation sont des facteurs étrangers à l’assurance-invalidité qui n’ont pas à être pris en compte dans ce cadre (arrêt du Tribunal fédéral 8C_175/2017 du 30 octobre 2017 consid 5.3). Le revenu après invalidité est ainsi de CHF 60'347.-, montant qui, comparé au revenu avant invalidité conduit à un degré d’invalidité de 7.15%, insuffisant pour ouvrir le droit à une rente et à des mesures d’ordre professionnel. Partant, la décision de l’intimé doit être confirmée. Le recours est rejeté. Le recourant, qui succombe, n’a pas droit à des dépens (art. 61 let. g LPGA). Bien que la procédure ne soit pas gratuite en matière d'assurance-invalidité (art. 69 al. 1bis LAI), il y a lieu en l'espèce de renoncer à la perception d'un</w:t>
      </w:r>
    </w:p>
    <w:p>
      <w:r>
        <w:t>A/2928/2017 - 12/12 - émolument, le recourant étant au bénéfice de l'assistance juridique (art. 12 al. 1 du règlement sur les frais, émoluments et indemnités en procédure administrative - E 5 10.03).</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