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ATAS/1228/2007 vom 31. Mai 2005</w:t>
      </w:r>
    </w:p>
    <w:p>
      <w:r>
        <w:t>GE Cour de justice, 2005-05-31, FR</w:t>
      </w:r>
    </w:p>
    <w:p>
      <w:r>
        <w:rPr>
          <w:b/>
        </w:rPr>
        <w:t xml:space="preserve">Quelle: </w:t>
      </w:r>
      <w:r>
        <w:t>https://mcp.opencaselaw.ch/entscheid/ge_gerichte_ATAS_1228_2007</w:t>
      </w:r>
    </w:p>
    <w:p>
      <w:r>
        <w:t>FR: GE_GERICHTE ATAS/1228/2007 du 31 mai 2005</w:t>
      </w:r>
    </w:p>
    <w:p>
      <w:r>
        <w:t>IT: GE_GERICHTE ATAS/1228/2007 del 31 maggio 2005</w:t>
      </w:r>
    </w:p>
    <w:p>
      <w:pPr>
        <w:pStyle w:val="Heading2"/>
      </w:pPr>
      <w:r>
        <w:t>Erwägungen</w:t>
      </w:r>
    </w:p>
    <w:p>
      <w:r>
        <w:rPr>
          <w:b/>
        </w:rPr>
        <w:t>E. 1</w:t>
      </w:r>
    </w:p>
    <w:p>
      <w:r>
        <w:t>Conformément à l'art. 56 V al. 1 let. a ch. 8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w:t>
      </w:r>
    </w:p>
    <w:p>
      <w:r>
        <w:t>A/3620/2007 - 4/6 -</w:t>
      </w:r>
    </w:p>
    <w:p>
      <w:r>
        <w:rPr>
          <w:b/>
        </w:rPr>
        <w:t>E. 3</w:t>
      </w:r>
    </w:p>
    <w:p>
      <w:r>
        <w:t>Déposé dans les forme et délai légaux, le recours est recevable (art. 56 et 60 LPGA).</w:t>
      </w:r>
    </w:p>
    <w:p>
      <w:r>
        <w:rPr>
          <w:b/>
        </w:rPr>
        <w:t>E. 4</w:t>
      </w:r>
    </w:p>
    <w:p>
      <w:r>
        <w:t>La décision sur opposition du 30 mars 2006, confirmée par le Tribunal de céans dans son arrêt du 10 octobre 2006 fixant le principe et le montant de la restitution, est entrée en force.</w:t>
      </w:r>
    </w:p>
    <w:p>
      <w:r>
        <w:rPr>
          <w:b/>
        </w:rPr>
        <w:t>E. 5</w:t>
      </w:r>
    </w:p>
    <w:p>
      <w:r>
        <w:t>Le litige porte sur le refus de la caisse d'accorder à l'assuré la remise de l'obligation de rembourser des indemnités versées à tort du 1er août 2003 au 31 janvier 2004, compte tenu du gain intermédiaire réalisé par l'assuré auprès d'X____________.</w:t>
      </w:r>
    </w:p>
    <w:p>
      <w:r>
        <w:rPr>
          <w:b/>
        </w:rPr>
        <w:t>E. 6</w:t>
      </w:r>
    </w:p>
    <w:p>
      <w:r>
        <w:t>Aux termes de l'art. 25 LPGA: "les prestations indûment touchées doivent être restituées. La restitution ne peut être exigée lorsque l’intéressé était de bonne foi et qu’elle le mettrait dans une situation difficile". L'art. 4 al. 1 de l'Ordonnance du 11 septembre 2002 sur la partie générale du droit des assurances sociales (OPGA) confirme que "la restitution entière ou partielle des prestations allouées indûment, mais reçues de bonne foi, ne peut être exigée si l’intéressé se trouve dans une situation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ou lorsque l’intéressé ne se conforme pas à ce qui peut être raisonnablement exigé d’une personne capable de discernement, se trouvant dans une situation identique et dans les mêmes circonstances. La jurisprudence développée à propos de l'art. 47 al. 1 de la loi fédérale du 20 décembre 1946 sur l’assurance-vieillesse et survivants (LAVS) vaut par analogie en ce qui concerne l'assurance-chômage (DTA 1992, p. 103). C'est ainsi que l'ignorance par le bénéficiaire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110 V 180).</w:t>
      </w:r>
    </w:p>
    <w:p>
      <w:r>
        <w:t>A/3620/2007 - 5/6 - La bonne foi ne saurait être reconnue lorsque le versement à tort de prestations est dû à une grave négligence ou au dol de la personne tenue à restitution; tel est le cas si, lors du dépôt de la demande et de l'examen des conditions personnelles ou économiques, certains faits ont été passés sous silence ou que des fausses indications ont été fournies intentionnellement ou par négligence. Le TFA a eu l'occasion d'admettre qu'il y a négligence grave dans le cas où l'assuré a donné des réponses inexactes aux questions concrètes d'une formule à remplir (ATF 110 V 181, consid. 3 d, RCC 1985, p. 63).</w:t>
      </w:r>
    </w:p>
    <w:p>
      <w:r>
        <w:rPr>
          <w:b/>
        </w:rPr>
        <w:t>E. 7</w:t>
      </w:r>
    </w:p>
    <w:p>
      <w:r>
        <w:t>En l'espèce, l'OCE a refusé d'accorder la remise à l'assuré, au motif que la condition de la bonne foi n'était pas réalisée. L'assuré allègue avoir informé son conseiller en placement du fait qu'il effectuait des missions pour X____________ dès août 2003. Force est toutefois de constater que l'assuré a rempli ses cartes de contrôle durant la période concernée, sans jamais indiquer avoir travaillé pour X____________. Il a plus particulièrement répondu par la négative à la question de savoir s'il avait "exercé une activité lucrative dépendante ou indépendante" sur chacune des cartes. Ainsi, non seulement il a tu l'information mais il a clairement menti. Il lui appartenait d'indiquer la réponse correcte même s'il en avait parlé à son conseiller. Il relève que le montant des indemnités reçues était variable, ce qui lui laissait penser que la caisse tenait compte des gains intermédiaires qu'il avait réalisés. Le Tribunal de céans ne voit cependant pas comment il aurait pu s'expliquer le calcul de ses indemnités de cette manière alors qu'il est établi qu'il n'avait pas communiqué le montant de ses gains à la caisse. Force est de constater, au vu de ce qui précède, que la bonne foi de l'assurée ne saurait être admise. Aussi la décision lui refusant la remise doit-elle être confirmée, étant superfétatoire d'examiner la condition de la charge trop lourde.</w:t>
      </w:r>
    </w:p>
    <w:p>
      <w:r>
        <w:t>A/3620/2007 - 6/6 -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